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50 MiCA — Verbot der Gewährung von Zinsen</w:t>
      </w:r>
    </w:p>
    <w:p>
      <w:r>
        <w:rPr>
          <w:color w:val="555555"/>
          <w:sz w:val="18"/>
        </w:rPr>
        <w:t xml:space="preserve">MiCA</w:t>
      </w:r>
    </w:p>
    <w:p>
      <w:r>
        <w:rPr>
          <w:color w:val="555555"/>
          <w:sz w:val="18"/>
        </w:rPr>
        <w:t xml:space="preserve">Stand: 22.07.2026 (konsolidierte Textfassung, kein amtliches Inkrafttretensdatum)</w:t>
      </w:r>
    </w:p>
    <w:p>
      <w:r>
        <w:t xml:space="preserve">(1) Abweichend von Artikel 12 der Richtlinie 2009/110/EG gewähren Emittenten von E-Geld-Token keine Zinsen in Bezug auf E-Geld-Token.</w:t>
      </w:r>
    </w:p>
    <w:p>
      <w:r>
        <w:t xml:space="preserve">(2) Bei der Erbringung von Kryptowerte-Dienstleistungen im Zusammenhang mit E-Geld-Token dürfen die Anbieter von Kryptowerte-Dienstleistungen keine Zinsen gewähren.</w:t>
      </w:r>
    </w:p>
    <w:p>
      <w:r>
        <w:t xml:space="preserve">(3) Für die Zwecke der Absätze 1 und 2 gelten alle Vergütungen oder sonstigen Vorteile, die mit der Zeitspanne zusammenhängen, in der ein Inhaber eines E-Geld-Token diesen E-Geld-Token hält, als Zinsen. Dazu gehören Nettovergütungen oder -abschläge, die einer vom Inhaber eines E-Geld-Token erhaltenen Verzinsung gleichkommen, unabhängig davon, ob sie unmittelbar vom Emittenten stammen oder durch Dritte gewährt werden, und unabhängig davon, ob sie unmittelbar im Zusammenhang mit dem E-Geld-Token stehen oder durch die Vergütung oder Preisgestaltung anderer Produkte gewährt werden.</w:t>
      </w:r>
    </w:p>
    <w:p>
      <w:r>
        <w:rPr>
          <w:color w:val="555555"/>
          <w:sz w:val="17"/>
        </w:rPr>
        <w:t xml:space="preserve">Zitiervorschlag: Art 50 MiCA</w:t>
      </w:r>
    </w:p>
    <w:p>
      <w:r>
        <w:rPr>
          <w:color w:val="555555"/>
          <w:sz w:val="17"/>
        </w:rPr>
        <w:t xml:space="preserve">Quelle: EUR-Lex, abgerufen 25.08.2026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https://recht.nulegal.eu/gesetze/MiCA/50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