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MiCA — Ausgabe und Rücktauschbarkeit von E-Geld-Token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Abweichend von Artikel 11 der Richtlinie 2009/110/EG gelten für Emittenten von E-Geld-Token im Hinblick auf Ausgabe und Rücktauschbarkeit von E-Geld-Token lediglich die in dem vorliegenden Artikel aufgeführten Anforderungen.</w:t>
      </w:r>
    </w:p>
    <w:p>
      <w:r>
        <w:t xml:space="preserve">(2) Den Inhabern von E-Geld-Token steht gegen den Emittenten der betreffenden E-Geld-Token ein Forderungsanspruch zu.</w:t>
      </w:r>
    </w:p>
    <w:p>
      <w:r>
        <w:t xml:space="preserve">(3) Emittenten von E-Geld-Token geben E-Geld-Token zum Nennwert des entgegengenommenen Geldbetrags aus.</w:t>
      </w:r>
    </w:p>
    <w:p>
      <w:r>
        <w:t xml:space="preserve">(4) Auf Verlangen des Inhabers eines E-Geld-Token zahlt der Emittent den monetären Wert dieses E-Geld-Token dem Inhaber dieses E-Geld-Token jederzeit und zum Nennwert zurück.</w:t>
      </w:r>
    </w:p>
    <w:p>
      <w:r>
        <w:t xml:space="preserve">(5) Die Emittenten von E-Geld-Token geben in dem in Artikel 51 Unterabsatz 1 Absatz 1 Buchstabe d genannten Kryptowerte-Whitepaper an gut erkennbarer Stelle die Bedingungen für den Rücktausch an.</w:t>
      </w:r>
    </w:p>
    <w:p>
      <w:r>
        <w:t xml:space="preserve">(6) Unbeschadet des Artikels 46 ist der Rücktausch von E-Geld-Token nicht gebührenpflichtig.</w:t>
      </w:r>
    </w:p>
    <w:p>
      <w:r>
        <w:rPr>
          <w:color w:val="555555"/>
          <w:sz w:val="17"/>
        </w:rPr>
        <w:t xml:space="preserve">Zitiervorschlag: Art 49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https://recht.nulegal.eu/gesetze/MiCA/49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