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48 MiCA — Anforderungen für das öffentliche Angebot von E-Geld-Token und ihre Zulassung zum Handel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Personen, darf E-Geld-Token in der Union nicht öffentlich anbieten oder die Zulassung von E-Geld-Token zum Handel beantragen, wenn es sich bei der Person nicht um einen Emittenten solcher E-Geld-Token und sie</w:t>
      </w:r>
    </w:p>
    <w:p>
      <w:r>
        <w:t xml:space="preserve">a) als Kreditinstitut oder als E-Geld-Institut zugelassen ist und</w:t>
      </w:r>
    </w:p>
    <w:p>
      <w:r>
        <w:t xml:space="preserve">b) der zuständigen Behörde ein Kryptowerte-Whitepaper übermittelt hat und dieses Kryptowerte-Whitepaper gemäß Artikel 51 veröffentlicht hat.</w:t>
      </w:r>
    </w:p>
    <w:p>
      <w:r>
        <w:t xml:space="preserve">Ungeachtet des Unterabsatzes 1 können mit schriftlicher Zustimmung des Emittenten andere Personen E-Geld-Token öffentlich anbieten oder deren Zulassung zum Handel beantragen. Diese Personen müssen die Artikel 50 und 53 einhalten.</w:t>
      </w:r>
    </w:p>
    <w:p>
      <w:r>
        <w:t xml:space="preserve">(2) E-Geld-Token gelten als E-Geld.</w:t>
      </w:r>
    </w:p>
    <w:p>
      <w:r>
        <w:t xml:space="preserve">Beziehen sich E-Geld-Token auf eine amtliche Währung eines Mitgliedstaats, wird von einem öffentlichen Angebot dieser Token in der Union ausgegangen.</w:t>
      </w:r>
    </w:p>
    <w:p>
      <w:r>
        <w:t xml:space="preserve">(3) Die Titel II und III der Richtlinie 2009/110/EG gelten für E-Geld-Token, sofern in dem vorliegenden Titel nichts anderes bestimmt ist.</w:t>
      </w:r>
    </w:p>
    <w:p>
      <w:r>
        <w:t xml:space="preserve">(4) Absatz 1 des vorliegenden Artikels gilt nicht für Emittenten von E-Geld-Token, die gemäß Artikel 9 Absatz 1 der Richtlinie 2009/110/EG ausgenommen sind.</w:t>
      </w:r>
    </w:p>
    <w:p>
      <w:r>
        <w:t xml:space="preserve">(5) Mit Ausnahme von Absatz 7 des vorliegenden Artikels und von Artikel 51 gilt dieser Titel nicht für Emittenten von E-Geld-Token, die gemäß Artikel 1 Absätze 4 und 5 der Richtlinie 2009/110/EG unter die Ausnahmeregelung fallen.</w:t>
      </w:r>
    </w:p>
    <w:p>
      <w:r>
        <w:t xml:space="preserve">(6) Wenn Emittenten von E-Geld-Token beabsichtigen, diese E-Geld-Token öffentlich anzubieten oder ihre Zulassung zum Handel zu beantragen, müssen sie der für sie zuständigen Behörde diese Absicht mindestens 40 Arbeitstage vor dem betreffenden Tag mitteilen.</w:t>
      </w:r>
    </w:p>
    <w:p>
      <w:r>
        <w:t xml:space="preserve">(7) In den Fällen, in denen Absatz 4 oder 5 Anwendung findet, müssen die Emittenten von E-Geld-Token ein Kryptowerte-Whitepaper erstellen und der zuständigen Behörde gemäß Artikel 51 übermitteln.</w:t>
      </w:r>
    </w:p>
    <w:p>
      <w:r>
        <w:rPr>
          <w:color w:val="555555"/>
          <w:sz w:val="17"/>
        </w:rPr>
        <w:t xml:space="preserve">Zitiervorschlag: Art 48 MiCA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https://recht.nulegal.eu/gesetze/MiCA/48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