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MiCA — Rücktauschplan</w:t>
      </w:r>
    </w:p>
    <w:p>
      <w:r>
        <w:rPr>
          <w:color w:val="555555"/>
          <w:sz w:val="18"/>
        </w:rPr>
        <w:t xml:space="preserve">MiCA</w:t>
      </w:r>
    </w:p>
    <w:p>
      <w:r>
        <w:rPr>
          <w:color w:val="555555"/>
          <w:sz w:val="18"/>
        </w:rPr>
        <w:t xml:space="preserve">Stand: 22.07.2026 (konsolidierte Textfassung, kein amtliches Inkrafttretensdatum)</w:t>
      </w:r>
    </w:p>
    <w:p>
      <w:r>
        <w:t xml:space="preserve">(1) Ein Emittent eines vermögenswertreferenzierten Token muss einen operativen Plan zur Unterstützung des geordneten Rücktauschs jedes vermögenswertereferenzierten Token erstellen und aufrechterhalten, der umzusetzen ist, wenn die zuständige Behörde feststellt, dass der Emittent seine Verpflichtungen nicht oder wahrscheinlich nicht erfüllen kann, auch im Fall einer Insolvenz oder einer etwaigen Abwicklung oder im Fall des Entzugs der Zulassung des Emittenten, unbeschadet der Ergreifung von Krisenpräventions- oder Krisenmanagementmaßnahmen im Sinne von Artikel 2 Absatz 1 Nummern 101 bzw. 102 der Richtlinie 2014/59/EU oder einer Abwicklungsmaßnahme im Sinne von Artikel 2 Nummer 11 der Verordnung (EU) 2021/23 des Europäischen Parlaments und des Rates ( 18 ).</w:t>
      </w:r>
    </w:p>
    <w:p>
      <w:r>
        <w:t xml:space="preserve">(2) Im Rücktauschplan ist zu belegen, dass der Emittent des vermögenswertreferenzierten Token zum Rücktausch des ausstehenden ausgegebenen vermögenswertreferenzierten Token in der Lage ist, ohne seinen Inhabern oder der Stabilität der Märkte des Reservevermögens unangemessenen wirtschaftlichen Schaden zuzufügen.</w:t>
      </w:r>
    </w:p>
    <w:p>
      <w:r>
        <w:t xml:space="preserve">Der Rücktauschplan muss vertragliche Vereinbarungen, Verfahren und Systeme einschließlich der Benennung eines vorläufigen Verwalters gemäß dem anwendbaren Recht enthalten, mit denen sichergestellt wird, dass alle Inhaber vermögenswertereferenzierter Token gerecht behandelt werden und dass die Erlöse aus dem Verkauf des verbleibenden Reservevermögens fristgerecht den Inhabern der vermögenswertereferenzierten Token ausgezahlt werden.</w:t>
      </w:r>
    </w:p>
    <w:p>
      <w:r>
        <w:t xml:space="preserve">Im Rücktauschplan muss die Kontinuität kritischer Tätigkeiten sichergestellt werden, die für den geordneten Rücktausch erforderlich sind und die von Emittenten oder von Drittunternehmen durchgeführt werden.</w:t>
      </w:r>
    </w:p>
    <w:p>
      <w:r>
        <w:t xml:space="preserve">(3) Der Emittent des vermögenswertreferenzierten Token muss der zuständigen Behörde den Rücktauschplan innerhalb von sechs Monaten ab dem Tag der Zulassung gemäß Artikel 21 oder innerhalb von sechs Monaten ab dem Tag der Genehmigung des Kryptowerte-Whitepapers gemäß Artikel 17 übermitteln Die zuständige Behörde verlangt erforderlichenfalls Änderungen am Rücktauschplan, um für dessen ordnungsgemäße Umsetzung zu sorgen, und teilt dem Emittenten ihre Entscheidung, mit der diese Änderungen verlangt werden, innerhalb von 40 Arbeitstagen ab dem Tag der Übermittlung dieses Plans mit. Diese Entscheidung ist vom Emittenten innerhalb von 40 Arbeitstagen ab dem Tag der Übermittlung dieser Entscheidung umzusetzen. Der Emittent muss den Rücktauschplan regelmäßig überprüfen und aktualisieren.</w:t>
      </w:r>
    </w:p>
    <w:p>
      <w:r>
        <w:t xml:space="preserve">(4) Die zuständige Behörde übermittelt den Rücktauschplan gegebenenfalls den für den Emittenten zuständigen Abwicklungs- und Aufsichtsbehörden.</w:t>
      </w:r>
    </w:p>
    <w:p>
      <w:r>
        <w:t xml:space="preserve">Die Abwicklungsbehörde kann den Rücktauschplan prüfen, um Maßnahmen in dem Rücktauschplan zu ermitteln, die sich nachteilig auf die Abwicklungsfähigkeit des Emittenten auswirken können, und der zuständigen Behörde diesbezüglich Empfehlungen geben.</w:t>
      </w:r>
    </w:p>
    <w:p>
      <w:r>
        <w:t xml:space="preserve">(5) Die EBA gibt zu folgenden Sachverhalten Leitlinien gemäß Artikel 16 der Verordnung (EU) Nr. 1093/2010 heraus:</w:t>
      </w:r>
    </w:p>
    <w:p>
      <w:r>
        <w:t xml:space="preserve">a) zu dem Inhalt des Rücktauschplans und der Regelmäßigkeit der Überprüfung, wobei sie den Umfang, die Komplexität und die Art des vermögenswertereferenzierten Token und das damit verbundene Geschäftsmodell des Emittenten berücksichtigt, und</w:t>
      </w:r>
    </w:p>
    <w:p>
      <w:r>
        <w:t xml:space="preserve">b) zu den Elementen, durch die die Umsetzung des Rücktauschplans ausgelöst wird.</w:t>
      </w:r>
    </w:p>
    <w:p>
      <w:r>
        <w:rPr>
          <w:color w:val="555555"/>
          <w:sz w:val="17"/>
        </w:rPr>
        <w:t xml:space="preserve">Zitiervorschlag: Art 47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https://recht.nulegal.eu/gesetze/MiCA/47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