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MiCA — Sanierungsplan</w:t>
      </w:r>
    </w:p>
    <w:p>
      <w:r>
        <w:rPr>
          <w:color w:val="555555"/>
          <w:sz w:val="18"/>
        </w:rPr>
        <w:t xml:space="preserve">MiCA</w:t>
      </w:r>
    </w:p>
    <w:p>
      <w:r>
        <w:rPr>
          <w:color w:val="555555"/>
          <w:sz w:val="18"/>
        </w:rPr>
        <w:t xml:space="preserve">Stand: 22.07.2026 (konsolidierte Textfassung, kein amtliches Inkrafttretensdatum)</w:t>
      </w:r>
    </w:p>
    <w:p>
      <w:r>
        <w:t xml:space="preserve">(1) Ein Emittent eines vermögenswertreferenzierten Token muss einen Sanierungsplan erstellen und aufrechterhalten, der Maßnahmen vorsieht, die der Emittent zu ergreifen hat, um die Einhaltung der für die Vermögenswertreserve geltenden Anforderungen wiederherzustellen, wenn der Emittent diese Anforderungen nicht einhält.</w:t>
      </w:r>
    </w:p>
    <w:p>
      <w:r>
        <w:t xml:space="preserve">Der Sanierungsplan muss auch die Aufrechterhaltung der Dienstleistungen des Emittenten im Zusammenhang mit dem vermögenswertereferenzierten Token, die rasche Sanierung des Geschäftsbetriebs und die Erfüllung der Pflichten des Emittenten im Fall von Ereignissen, die ein beträchtliches Risiko einer Störung des Geschäftsbetriebs bergen, umfassen.</w:t>
      </w:r>
    </w:p>
    <w:p>
      <w:r>
        <w:t xml:space="preserve">Der Sanierungsplan muss geeignete Voraussetzungen und Verfahren enthalten mit denen sichergestellt wird, dass die Sanierungsmaßnahmen rasch durchgeführt werden können, und eine breite Palette von Sanierungsoptionen umfassen, darunter</w:t>
      </w:r>
    </w:p>
    <w:p>
      <w:r>
        <w:t xml:space="preserve">a) Liquiditätsgebühren bei Rücktausch,</w:t>
      </w:r>
    </w:p>
    <w:p>
      <w:r>
        <w:t xml:space="preserve">b) Begrenzungen der Menge der an einem Arbeitstag rücktauschbaren vermögenswertereferenzierten Token,</w:t>
      </w:r>
    </w:p>
    <w:p>
      <w:r>
        <w:t xml:space="preserve">c) Aussetzung des Rücktauschs.</w:t>
      </w:r>
    </w:p>
    <w:p>
      <w:r>
        <w:t xml:space="preserve">(2) Der Emittent des vermögenswertreferenzierten Token muss der zuständigen Behörde den Sanierungsplan innerhalb von sechs Monaten ab dem Tag der Zulassung gemäß Artikel 21 oder innerhalb von sechs Monaten ab dem Tag der Genehmigung des Kryptowerte-Whitepapers gemäß Artikel 17 übermitteln. Die zuständige Behörde verlangt erforderlichenfalls Änderungen am Sanierungsplan, um für dessen ordnungsgemäße Umsetzung zu sorgen, und übermittelt dem Emittenten ihre Entscheidung, mit der diese Änderungen verlangt werden, innerhalb von 40 Arbeitstagen ab dem Tag der Übermittlung des Sanierungsplans. Diese Entscheidung ist vom Emittenten innerhalb von 40 Arbeitstagen ab dem Tag der Übermittlung dieser Entscheidung umzusetzen. Der Emittent muss den Sanierungsplan regelmäßig überprüfen und aktualisieren.</w:t>
      </w:r>
    </w:p>
    <w:p>
      <w:r>
        <w:t xml:space="preserve">Der Emittent muss den Sanierungsplan neben der zuständigen Behörde auch den etwaigen für ihn zuständigen Abwicklungs- und Aufsichtsbehörden übermitteln.</w:t>
      </w:r>
    </w:p>
    <w:p>
      <w:r>
        <w:t xml:space="preserve">(3) Erfüllt der Emittent die für die in Kapitel 3 des vorliegenden Titels genannte Vermögenswertreserve geltenden Anforderungen nicht oder aufgrund einer sich rasch verschlechternden Finanzlage in naher Zukunft wahrscheinlich nicht, so ist die zuständige Behörde zur Sicherstellung der Erfüllung der geltenden Anforderungen befugt, von dem Emittenten zu verlangen, eine oder mehrere der im Sanierungsplan festgelegten Vorkehrungen oder Maßnahmen zu treffen oder den Sanierungsplan zu aktualisieren, wenn sich die Umstände von den im ursprünglichen Sanierungsplan festgelegten Annahmen unterscheiden, und eine oder mehrere der im Sanierungsplan festgelegten Vorkehrungen oder Maßnahmen innerhalb einer bestimmten Frist umzusetzen.</w:t>
      </w:r>
    </w:p>
    <w:p>
      <w:r>
        <w:t xml:space="preserve">(4) Unter den in Absatz 3 genannten Umständen ist die zuständige Behörde befugt, den Rücktausch vermögenswertereferenzierter Token vorübergehend auszusetzen, sofern die Aussetzung unter Berücksichtigung der Interessen der Inhaber vermögenswertereferenzierter Token und der Finanzstabilität gerechtfertigt ist.</w:t>
      </w:r>
    </w:p>
    <w:p>
      <w:r>
        <w:t xml:space="preserve">(5) Die zuständige Behörde benachrichtigt die für den Emittenten zuständigen Abwicklungs- und Aufsichtsbehörden über alle etwaigen gemäß den Absätzen 3 und 4 ergriffenen Maßnahmen.</w:t>
      </w:r>
    </w:p>
    <w:p>
      <w:r>
        <w:t xml:space="preserve">(6) Die EBA gibt nach Konsultation mit der ESMA Leitlinien gemäß Artikel 16 der Verordnung (EU) Nr. 1093/2010 zur Spezifizierung des Formats des Sanierungsplans und der Informationen, die in ihm gegeben werden müssen, heraus.</w:t>
      </w:r>
    </w:p>
    <w:p>
      <w:r>
        <w:rPr>
          <w:color w:val="555555"/>
          <w:sz w:val="17"/>
        </w:rPr>
        <w:t xml:space="preserve">Zitiervorschlag: Art 46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https://recht.nulegal.eu/gesetze/MiCA/46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