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45 MiCA — Spezifische zusätzliche Pflichten von Emittenten signifikanter vermögenswertereferenzierter Token</w:t>
      </w:r>
    </w:p>
    <w:p>
      <w:r>
        <w:rPr>
          <w:color w:val="555555"/>
          <w:sz w:val="18"/>
        </w:rPr>
        <w:t xml:space="preserve">MiCA</w:t>
      </w:r>
    </w:p>
    <w:p>
      <w:r>
        <w:rPr>
          <w:color w:val="555555"/>
          <w:sz w:val="18"/>
        </w:rPr>
        <w:t xml:space="preserve">Stand: 22.07.2026 (konsolidierte Textfassung, kein amtliches Inkrafttretensdatum)</w:t>
      </w:r>
    </w:p>
    <w:p>
      <w:r>
        <w:t xml:space="preserve">(1) Die Emittenten signifikanter vermögenswertereferenzierter Token legen eine Vergütungspolitik fest, die dem soliden und wirksamen Risikomanagement dieser Emittenten förderlich ist und mit der keine Anreize für eine Lockerung der Risikostandards geschaffen werden, setzen diese Vergütungspolitik um und erhalten sie aufrecht.</w:t>
      </w:r>
    </w:p>
    <w:p>
      <w:r>
        <w:t xml:space="preserve">(2) Die Emittenten signifikanter vermögenswertereferenzierter Token stellen sicher, dass diese Token von verschiedenen Anbietern von Kryptowerte-Dienstleistungen, die für die Verwahrung und Verwaltung von Kryptowerten für Kunden zugelassen sind, einschließlich Anbietern von Kryptowerte-Dienstleistungen, die nicht derselben Gruppe im Sinne von Artikel 2 Nummer 11 der Richtlinie 2013/34/EU angehören, auf redliche, angemessene und nichtdiskriminierende Weise verwahrt werden können.</w:t>
      </w:r>
    </w:p>
    <w:p>
      <w:r>
        <w:t xml:space="preserve">(3) Die Emittenten signifikanter vermögenswertereferenzierter Token bewerten und überwachen den Liquiditätsbedarf für die Erfüllung von Rücktauschforderungen durch Inhaber vermögenswertereferenzierter Token. Die Emittenten signifikanter vermögenswertereferenzierter Token führen zu diesem Zweck Strategien und Verfahren für das Liquiditätsmanagement ein, erhalten sie aufrecht und setzen sie um. Mit diesen Strategien und Verfahren wird ein robustes Liquiditätsprofil des Reservevermögens sichergestellt, das es Emittenten signifikanter vermögenswertereferenzierter Token ermöglicht, auch bei Liquiditätsengpässen den normalen Betrieb fortzusetzen.</w:t>
      </w:r>
    </w:p>
    <w:p>
      <w:r>
        <w:t xml:space="preserve">(4) Emittenten signifikanter vermögenswertereferenzierter Token führen regelmäßig Liquiditätsstresstests durch. Je nach Ergebnis dieser Tests kann die EBA beschließen, die in Absatz 7 Unterabsatz 1 Buchstabe b des vorliegenden Artikels und in Artikel 36 Absatz 4 genannten Liquiditätsanforderungen zu verschärfen.</w:t>
      </w:r>
    </w:p>
    <w:p>
      <w:r>
        <w:t xml:space="preserve">Bieten Emittenten signifikanter vermögenswertereferenzierter Token zwei oder mehr vermögenswertereferenzierten Token an oder erbringen sie Kryptowerte-Dienstleistungen, so müssen die Stresstests all diese Tätigkeiten vollständig und allumfassend abdecken.</w:t>
      </w:r>
    </w:p>
    <w:p>
      <w:r>
        <w:t xml:space="preserve">(5) Der in Artikel 35 Absatz 1 Unterabsatz 1 Buchstabe b genannte Prozentsatz wird für Emittenten signifikanter vermögenswertereferenzierter Token auf 3 % des durchschnittlichen Betrags des Reservevermögens festgelegt.</w:t>
      </w:r>
    </w:p>
    <w:p>
      <w:r>
        <w:t xml:space="preserve">(6) Bieten mehrere Emittenten denselben als signifikant eingestuften vermögenswertereferenzierten Token an, so gelten die Absätze 1 bis 5 für jeden Emittenten.</w:t>
      </w:r>
    </w:p>
    <w:p>
      <w:r>
        <w:t xml:space="preserve">Bietet ein Emittent in der Union zwei oder mehr vermögenswertereferenzierter Token an und ist mindestens einer dieser vermögenswertereferenzierten Token als signifikant eingestuft, so gelten für diesen Emittenten die Absätze 1 bis 5.</w:t>
      </w:r>
    </w:p>
    <w:p>
      <w:r>
        <w:t xml:space="preserve">(7) Die EBA arbeitet in enger Zusammenarbeit mit der ESMA Entwürfe technischer Regulierungsstandards aus, in denen Folgendes präzisiert wird:</w:t>
      </w:r>
    </w:p>
    <w:p>
      <w:r>
        <w:t xml:space="preserve">a) die in den Regelungen für die Unternehmensführung festzulegenden Mindestvorgaben hinsichtlich der in Absatz 1 genannten Vergütungspolitik,</w:t>
      </w:r>
    </w:p>
    <w:p>
      <w:r>
        <w:t xml:space="preserve">b) der Mindestinhalt der Strategien und Verfahren für das in Absatz 3 festgelegte Liquiditätsmanagement sowie Liquiditätsanforderungen, einschließlich durch Klarstellung des Mindestbetrags der Einlagen in jeder genannten amtlichen Währung, der nicht unter 60 % des in den einzelnen amtlichen Währungen genannten Betrags liegen darf,</w:t>
      </w:r>
    </w:p>
    <w:p>
      <w:r>
        <w:t xml:space="preserve">c) das Verfahren und die Fristen für einen Emittenten eines signifikanten vermögenswertereferenzierten Token, die Höhe seiner Eigenmittel gemäß Absatz 5 anzupassen.</w:t>
      </w:r>
    </w:p>
    <w:p>
      <w:r>
        <w:t xml:space="preserve">Im Fall von Kreditinstituten kalibriert die EBA die technischen Standards unter Berücksichtigung etwaiger Wechselwirkungen zwischen den durch diese Verordnung festgelegten regulatorischen Anforderungen und den durch andere Gesetzgebungsakte der Union festgelegten regulatorischen Anforderungen.</w:t>
      </w:r>
    </w:p>
    <w:p>
      <w:r>
        <w:t xml:space="preserve">Die EBA übermittelt der Kommission die in Unterabsatz 1 genannten Entwürfe technischer Regulierungsstandards spätestens am 30. Juni 2024.</w:t>
      </w:r>
    </w:p>
    <w:p>
      <w:r>
        <w:t xml:space="preserve">Der Kommission wird die Befugnis übertragen, diese Verordnung durch die Annahme der in Unterabsatz 1 des vorliegenden Absatzes genannten technischen Regulierungsstandards gemäß den Artikeln 10 bis 14 der Verordnung (EU) Nr. 1093/2010 zu ergänzen.</w:t>
      </w:r>
    </w:p>
    <w:p>
      <w:r>
        <w:t xml:space="preserve">(8) Die EBA gibt in enger Zusammenarbeit mit der ESMA und der EZB Leitlinien zur Festlegung der gemeinsamen Referenzparamater der Stresstestszenarien gemäß Artikel 16 der Verordnung (EU) Nr. 1093/2010 heraus, die in die in Absatz 4 des vorliegenden Artikels genannten Stresstests einzubeziehen sind. Diese Leitlinien werden unter Berücksichtigung der jüngsten Marktentwicklungen regelmäßig aktualisiert.</w:t>
      </w:r>
    </w:p>
    <w:p>
      <w:r>
        <w:rPr>
          <w:color w:val="555555"/>
          <w:sz w:val="17"/>
        </w:rPr>
        <w:t xml:space="preserve">Zitiervorschlag: Art 45 MiCA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https://recht.nulegal.eu/gesetze/MiCA/45</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