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44 MiCA — Freiwillige Einstufung vermögenswertereferenzierter Token als signifikante vermögenswertereferenzierte Token</w:t>
      </w:r>
    </w:p>
    <w:p>
      <w:r>
        <w:rPr>
          <w:color w:val="555555"/>
          <w:sz w:val="18"/>
        </w:rPr>
        <w:t xml:space="preserve">MiCA</w:t>
      </w:r>
    </w:p>
    <w:p>
      <w:r>
        <w:rPr>
          <w:color w:val="555555"/>
          <w:sz w:val="18"/>
        </w:rPr>
        <w:t xml:space="preserve">Stand: 22.07.2026 (konsolidierte Textfassung, kein amtliches Inkrafttretensdatum)</w:t>
      </w:r>
    </w:p>
    <w:p>
      <w:r>
        <w:t xml:space="preserve">(1) Damit ein vermögenswertereferenzierter Token gemäß dem vorliegenden Artikel als signifikant eingestuft werden kann, muss der antragstellende Emittent des vermögenswertreferenzierten Token durch einen detaillierten Geschäftsplan gemäß Artikel 17 Absatz 1 Buchstaben b und i und Artikel 18 Absatz 2 Buchstabe d nachweisen, dass er voraussichtlich mindestens drei der in Artikel 43 Absatz 1 festgelegten Kriterien erfüllt.</w:t>
      </w:r>
    </w:p>
    <w:p>
      <w:r>
        <w:t xml:space="preserve">(2) Die für die Emittenten dieser vermögenswertereferenzierten Token zuständigen Behörden, die EZB und gegebenenfalls die Zentralbank des betreffenden Mitgliedstaats haben ab dem Tag der Übermittlung des Entwurfs eines Beschlusses 20 Arbeitstage Zeit, um schriftlich Stellung zu nehmen und Bemerkungen vorzubringen. Die EBA trägt diesen Stellungnahmen und Bemerkungen vor der Annahme eines endgültigen Beschlusses gebührend Rechnung.</w:t>
      </w:r>
    </w:p>
    <w:p>
      <w:r>
        <w:t xml:space="preserve">(3)</w:t>
      </w:r>
    </w:p>
    <w:p>
      <w:r>
        <w:t xml:space="preserve">(4)</w:t>
      </w:r>
    </w:p>
    <w:p>
      <w:r>
        <w:rPr>
          <w:color w:val="555555"/>
          <w:sz w:val="17"/>
        </w:rPr>
        <w:t xml:space="preserve">Zitiervorschlag: Art 44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