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MiCA — Einstufung vermögenswertereferenzierter Token als signifikante vermögenswertereferenzierte Token</w:t>
      </w:r>
    </w:p>
    <w:p>
      <w:r>
        <w:rPr>
          <w:color w:val="555555"/>
          <w:sz w:val="18"/>
        </w:rPr>
        <w:t xml:space="preserve">MiCA</w:t>
      </w:r>
    </w:p>
    <w:p>
      <w:r>
        <w:rPr>
          <w:color w:val="555555"/>
          <w:sz w:val="18"/>
        </w:rPr>
        <w:t xml:space="preserve">Stand: 22.07.2026 (konsolidierte Textfassung, kein amtliches Inkrafttretensdatum)</w:t>
      </w:r>
    </w:p>
    <w:p>
      <w:r>
        <w:t xml:space="preserve">(1) Für die Einstufung vermögenswertereferenzierter Token als signifikante vermögenswertereferenzierte Token gelten folgende Kriterien, die in den gemäß Absatz 11 erlassenen delegierten Rechtsakten näher ausgeführt werden:</w:t>
      </w:r>
    </w:p>
    <w:p>
      <w:r>
        <w:t xml:space="preserve">a) die Anzahl der Inhaber des vermögenswertereferenzierten Token übersteigt 10 Mio.,</w:t>
      </w:r>
    </w:p>
    <w:p>
      <w:r>
        <w:t xml:space="preserve">b) der Wert der ausgegebenen vermögenswertereferenzierten Token, deren Marktkapitalisierung oder der Umfang der Vermögenswertreserve des Emittenten der vermögenswertereferenzierten Token beträgt mehr als 5 000 000 000 EUR,</w:t>
      </w:r>
    </w:p>
    <w:p>
      <w:r>
        <w:t xml:space="preserve">c) die durchschnittliche Zahl und der geschätzte aggregierte Wert der Geschäfte mit diesen vermögenswertereferenzierten Token pro Tag im relevanten Zeitraum liegen über 2,5 Mio. Transaktionen bzw. 500 000 000 EUR,</w:t>
      </w:r>
    </w:p>
    <w:p>
      <w:r>
        <w:t xml:space="preserve">d) der Emittent des vermögenswertereferenzierten Token ist ein Betreiber zentraler Plattformdienste, der gemäß der Verordnung (EU) 2022/1925 des Europäischen Parlaments und des Rates ( 17 ) als Torwächter benannt wurde,</w:t>
      </w:r>
    </w:p>
    <w:p>
      <w:r>
        <w:t xml:space="preserve">e) Bedeutung der Tätigkeiten des Emittenten des vermögenswertereferenzierten Token auf internationaler Ebene, einschließlich der Verwendung der vermögenswertereferenzierten Token für Zahlungen und Überweisungen,</w:t>
      </w:r>
    </w:p>
    <w:p>
      <w:r>
        <w:t xml:space="preserve">f) Verflechtung des vermögenswertereferenzierten Token oder seines Emittenten mit dem Finanzsystem,</w:t>
      </w:r>
    </w:p>
    <w:p>
      <w:r>
        <w:t xml:space="preserve">g) derselbe Emittent gibt mindestens einen zusätzlichen vermögenswertereferenzierten Token oder E-Geld-Token aus und erbringt mindestens eine Kryptowerte-Dienstleistung .</w:t>
      </w:r>
    </w:p>
    <w:p>
      <w:r>
        <w:t xml:space="preserve">(2) Die EBA stuft vermögenswertereferenzierte Token als signifikante vermögenswertereferenzierte Token ein, sofern zumindest drei der in Absatz 1 des vorliegenden Artikels festgelegten Kriterien erfüllt sind:</w:t>
      </w:r>
    </w:p>
    <w:p>
      <w:r>
        <w:t xml:space="preserve">a) in dem vom ersten Bericht mit Informationen gemäß Absatz 4 des vorliegenden Artikels abgedeckten Zeitraum nach der Zulassung gemäß Artikel 21 oder nach Genehmigung des Kryptowerte-Whitepapers gemäß Artikel 17 oder</w:t>
      </w:r>
    </w:p>
    <w:p>
      <w:r>
        <w:t xml:space="preserve">b) in dem Zeitraum, der von mindestens zwei aufeinanderfolgenden Berichten mit Informationen abgedeckt ist.</w:t>
      </w:r>
    </w:p>
    <w:p>
      <w:r>
        <w:t xml:space="preserve">(3) Geben mehrere Emittenten dasselbe vermögenswertereferenzierte Token aus, so wird die Erfüllung der in Absatz 1 festgelegten Kriterien nach Aggregation der Daten dieser Emittenten bewertet.</w:t>
      </w:r>
    </w:p>
    <w:p>
      <w:r>
        <w:t xml:space="preserve">(4) Die zuständigen Behörden des Herkunftsmitgliedstaats des Emittenten berichten der EBA und der EZB mindestens zweimal jährlich die Informationen, die zur Bewertung der Erfüllung der in Absatz 1 des vorliegenden Artikels genannten Kriterien dienlich sind, einschließlich einschlägigen falls der gemäß Absatz 22 eingegangenen Informationen.</w:t>
      </w:r>
    </w:p>
    <w:p>
      <w:r>
        <w:t xml:space="preserve">Ist der Emittent in einem Mitgliedstaat niedergelassen, dessen amtliche Währung nicht der Euro ist, oder gilt eine andere amtliche Währung als der Euro in einem Mitgliedstaat als Bezugsgröße für die vermögenswertereferenzierten Token, so übermitteln die zuständigen Behörden die Informationen gemäß Unterabsatz 1 auch der Zentralbank des betreffenden Mitgliedstaats.</w:t>
      </w:r>
    </w:p>
    <w:p>
      <w:r>
        <w:t xml:space="preserve">(5) Gelangt die EBA zu der Auffassung, dass ein vermögenswertereferenzierter Token die in Absatz 1 genannten Kriterien gemäß Absatz 2 erfüllt, so erstellt sie einen entsprechenden Entwurf eines Beschlusses zur Einstufung vermögenswertereferenzierter Token als signifikante vermögenswertereferenzierte Token und übermittelt diesen Entwurf eines Beschlusses dem Emittenten dieses vermögenswertereferenzierten Token und der zuständigen Behörde des Herkunftsmitgliedstaats des Emittenten, der EZB und in den in Absatz 4 Unterabsatz 2 genannten Fällen der Zentralbank des betreffenden Mitgliedstaats.</w:t>
      </w:r>
    </w:p>
    <w:p>
      <w:r>
        <w:t xml:space="preserve">Die Emittenten dieser vermögenswertereferenzierten Token, die für sie zuständigen Behörden, die EZB und gegebenenfalls die Zentralbank des betreffenden Mitgliedstaats haben ab dem Tag der Übermittlung des Entwurfs des Beschlusses der EBA 20 Arbeitstage Zeit, um schriftlich Stellung zu nehmen und Bemerkungen vorzubringen. Die EBA trägt diesen Stellungnahmen und Bemerkungen vor der Annahme eines endgültigen Beschlusses gebührend Rechnung.</w:t>
      </w:r>
    </w:p>
    <w:p>
      <w:r>
        <w:t xml:space="preserve">(6) Die EBA fasst innerhalb von 60 Arbeitstagen nach dem Tag der in Absatz 5 genannten Übermittlung, ihren endgültigen Beschluss darüber, ob sie den vermögenswertereferenzierten Token als signifikanten vermögenswertreferenzierten Token einstuft, und übermittelt diesen Beschluss umgehend den Emittenten dieses vermögenswertereferenzierten Token und der für diesen zuständigen Behörde.</w:t>
      </w:r>
    </w:p>
    <w:p>
      <w:r>
        <w:t xml:space="preserve">(7) Wurde ein vermögenswertereferenzierter Token gemäß einem Beschluss der EBA nach Absatz 6 als signifikant eingestuft, so wird die Zuständigkeit für die Beaufsichtigung in Bezug auf einen Emittenten dieses signifikanten vermögenswertereferenzierten Token innerhalb von 20 Arbeitstagen ab dem Tag der Übermittlung dieses Beschlusses von der zuständigen Behörde des Herkunftsmitgliedstaats des Emittenten auf die EBA übertragen.</w:t>
      </w:r>
    </w:p>
    <w:p>
      <w:r>
        <w:t xml:space="preserve">Die EBA und die zuständige Behörde arbeiten zusammen, um einen reibungslosen Übergang der Aufsichtsbefugnisse sicherzustellen.</w:t>
      </w:r>
    </w:p>
    <w:p>
      <w:r>
        <w:t xml:space="preserve">(8) Die EBA bewertet jährlich erneut die Einstufung der signifikanten vermögenswertereferenzierten Token auf der Grundlage der zur Verfügung stehenden Informationen einschließlich der in Absatz 4 genannten Berichte oder der gemäß Artikel 22 erhaltenen Informationen.</w:t>
      </w:r>
    </w:p>
    <w:p>
      <w:r>
        <w:t xml:space="preserve">Gelangt die EBA der Auffassung, dass gewisse vermögenswertereferenzierte Token die in Absatz 1 festgelegten Kriterien gemäß Absatz 2 nicht mehr erfüllen, so erstellt sie einen Entwurf eines Beschlusses, die vermögenswertereferenzierte Token nicht länger als signifikant einzustufen, und übermittelt diesen Entwurf eines Beschlusses den Emittenten dieser vermögenswertereferenzierten Token und der zuständigen Behörde des Herkunftsmitgliedstaats des Emittenten, der EZB oder in den in Absatz 4 Unterabsatz 2 genannten Fällen der Zentralbank des betreffenden Mitgliedstaats.</w:t>
      </w:r>
    </w:p>
    <w:p>
      <w:r>
        <w:t xml:space="preserve">Die Emittenten dieser vermögenswertereferenzierten Token, die für sie zuständigen Behörden, die EZB und die in Absatz 4 genannte Zentralbank haben ab dem Tag der Übermittlung dieses Entwurfs eines Beschlusses 20 Arbeitstage Zeit, um schriftlich Stellung zu nehmen und Bemerkungen vorzubringen. Die EBA trägt diesen Stellungnahmen und Bemerkungen vor der Annahme eines endgültigen Beschlusses gebührend Rechnung.</w:t>
      </w:r>
    </w:p>
    <w:p>
      <w:r>
        <w:t xml:space="preserve">(9) Die EBA fasst innerhalb von 60 Arbeitstagen nach der in Absatz 8 genannten Übermittlung ihren endgültigen Beschluss darüber, ob ein vermögenswertereferenzierter Token nicht mehr als signifikant eingestuft wird, und übermittelt diesen Beschluss sofort den Emittenten dieser vermögenswertereferenzierten Token und den für sie zuständigen Behörden.</w:t>
      </w:r>
    </w:p>
    <w:p>
      <w:r>
        <w:t xml:space="preserve">(10) Ist ein vermögenswertereferenzierter Token gemäß einem Beschluss der EBA gemäß Absatz 9 nicht mehr als signifikant eingestuft, so wird die Zuständigkeit für die Beaufsichtigung in Bezug auf einen Emittenten dieses vermögenswertereferenzierten Token innerhalb von 20 Arbeitstagen nach dem Tag der Übermittlung dieses Beschlusses von der EBA auf die zuständige Behörde des Herkunftsmitgliedstaats des Emittenten übertragen.</w:t>
      </w:r>
    </w:p>
    <w:p>
      <w:r>
        <w:t xml:space="preserve">Die EBA und die zuständige Behörde arbeiten zusammen, um einen reibungslosen Übergang der Aufsichtsbefugnisse sicherzustellen.</w:t>
      </w:r>
    </w:p>
    <w:p>
      <w:r>
        <w:t xml:space="preserve">(11) Die Kommission erlässt gemäß Artikel 139 delegierte Rechtsakte zur Ergänzung dieser Verordnung, indem sie die in Absatz 1 genannten Kriterien für die Einstufung als signifikanter vermögenswertereferenzierter Token spezifiziert und Folgendes festlegt:</w:t>
      </w:r>
    </w:p>
    <w:p>
      <w:r>
        <w:t xml:space="preserve">a) die Umstände, unter denen die Tätigkeiten des Emittenten des vermögenswertreferenzierten Token auf internationaler Ebene außerhalb der Union als signifikant gelten,</w:t>
      </w:r>
    </w:p>
    <w:p>
      <w:r>
        <w:t xml:space="preserve">b) die Umstände, unter denen vermögenswertereferenzierte Token und ihre Emittenten als mit dem Finanzsystem verflochten zu betrachten sind,</w:t>
      </w:r>
    </w:p>
    <w:p>
      <w:r>
        <w:t xml:space="preserve">c) Inhalt und Format der Informationen, die die zuständigen Behörden der EBA und der EZB gemäß Absatz 4 des vorliegenden Artikels und Artikel 56 Absatz 3 übermitteln.</w:t>
      </w:r>
    </w:p>
    <w:p>
      <w:r>
        <w:rPr>
          <w:color w:val="555555"/>
          <w:sz w:val="17"/>
        </w:rPr>
        <w:t xml:space="preserve">Zitiervorschlag: Art 43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