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MiCA — Öffentliche Angebote von anderen Kryptowerten als vermögenswertereferenzierten Token oder E-Geld-Token</w:t>
      </w:r>
    </w:p>
    <w:p>
      <w:r>
        <w:rPr>
          <w:color w:val="555555"/>
          <w:sz w:val="18"/>
        </w:rPr>
        <w:t xml:space="preserve">MiCA</w:t>
      </w:r>
    </w:p>
    <w:p>
      <w:r>
        <w:rPr>
          <w:color w:val="555555"/>
          <w:sz w:val="18"/>
        </w:rPr>
        <w:t xml:space="preserve">Stand: 22.07.2026 (konsolidierte Textfassung, kein amtliches Inkrafttretensdatum)</w:t>
      </w:r>
    </w:p>
    <w:p>
      <w:r>
        <w:t xml:space="preserve">(1) Eine Person, darf in der Union andere Kryptowerte als vermögenswertereferenzierte Token oder E-Geld-Token nicht öffentlich anbieten, es sei denn, diese Person</w:t>
      </w:r>
    </w:p>
    <w:p>
      <w:r>
        <w:t xml:space="preserve">a) ist eine juristische Person,</w:t>
      </w:r>
    </w:p>
    <w:p>
      <w:r>
        <w:t xml:space="preserve">b) hat in Bezug auf diese Kryptowerte ein Kryptowerte-Whitepaper gemäß Artikel 6 erstellt,</w:t>
      </w:r>
    </w:p>
    <w:p>
      <w:r>
        <w:t xml:space="preserve">c) hat das Kryptowerte-Whitepaper gemäß Artikel 8 übermittelt,</w:t>
      </w:r>
    </w:p>
    <w:p>
      <w:r>
        <w:t xml:space="preserve">d) hat das Kryptowerte-Whitepaper gemäß Artikel 9 veröffentlicht,</w:t>
      </w:r>
    </w:p>
    <w:p>
      <w:r>
        <w:t xml:space="preserve">e) hat in Bezug auf diesen Kryptowert die Marketingmitteilungen, sofern vorhanden, gemäß Artikel 7 erstellt,</w:t>
      </w:r>
    </w:p>
    <w:p>
      <w:r>
        <w:t xml:space="preserve">f) hat in Bezug auf diesen Kryptowert die Marketingmitteilungen, sofern vorhanden, gemäß Artikel 9 veröffentlicht,</w:t>
      </w:r>
    </w:p>
    <w:p>
      <w:r>
        <w:t xml:space="preserve">g) erfüllt die in Artikel 14 festgelegten Anforderungen für Anbieter.</w:t>
      </w:r>
    </w:p>
    <w:p>
      <w:r>
        <w:t xml:space="preserve">(2) Absatz 1 Buchstaben b, c, d und f gilt nicht für folgende öffentliche Angebote von anderen Kryptowerten als vermögenswertereferenzierten Token oder E-Geld-Token:</w:t>
      </w:r>
    </w:p>
    <w:p>
      <w:r>
        <w:t xml:space="preserve">a) Ein Angebot an weniger als 150 natürliche oder juristische Personen je Mitgliedstaat, wenn diese Personen für eigene Rechnung handeln;</w:t>
      </w:r>
    </w:p>
    <w:p>
      <w:r>
        <w:t xml:space="preserve">b) ein öffentliches Angebot eines Kryptowerts in der Union, dessen Gesamtgegenwert über einen Zeitraum von zwölf Monaten ab dem Beginn des Angebots 1 000 000 EUR oder den Gegenwert in einer anderen amtlichen Währung oder in Kryptowerten nicht übersteigt;</w:t>
      </w:r>
    </w:p>
    <w:p>
      <w:r>
        <w:t xml:space="preserve">c) ein Angebot eines Kryptowerts, das sich ausschließlich an qualifizierte Anleger richtet, sofern der Kryptowert nur von diesen qualifizierten Anlegern gehalten werden kann.</w:t>
      </w:r>
    </w:p>
    <w:p>
      <w:r>
        <w:t xml:space="preserve">(3) Dieser Titel findet keine Anwendung auf öffentliche Angebote von anderen Kryptowerten als vermögenswertereferenzierten Token oder E-Geld-Token, wenn einer oder mehrere der folgenden Fälle zutreffen:</w:t>
      </w:r>
    </w:p>
    <w:p>
      <w:r>
        <w:t xml:space="preserve">a) der Kryptowert wird kostenlos angeboten;</w:t>
      </w:r>
    </w:p>
    <w:p>
      <w:r>
        <w:t xml:space="preserve">b) der Kryptowert wird als Gegenleistung für die Pflege des Distributed Ledgers oder die Validierung von Transaktionen automatisch geschürft;</w:t>
      </w:r>
    </w:p>
    <w:p>
      <w:r>
        <w:t xml:space="preserve">c) das Angebot betrifft einen Utility-Token, der Zugang zu einer Ware oder Dienstleistung bietet, die bereits besteht oder bereits erbracht wird;</w:t>
      </w:r>
    </w:p>
    <w:p>
      <w:r>
        <w:t xml:space="preserve">d) der Inhaber des Kryptowerts ist berechtigt, diesen Kryptowert nur für den Tausch gegen Waren und Dienstleistungen in einem begrenzten Netz von Händlern mit vertraglichen Vereinbarungen mit dem Anbieter zu nutzen.</w:t>
      </w:r>
    </w:p>
    <w:p>
      <w:r>
        <w:t xml:space="preserve">Für die Zwecke von Unterabsatz 1 Buchstabe a gilt ein Angebot eines Kryptowerts nicht als kostenlos, wenn der Käufer verpflichtet ist oder sich bereit erklären muss, dem Anbieter im Tausch gegen diesen Kryptowert personenbezogene Daten zur Verfügung zu stellen, oder wenn der Anbieter eines Kryptowerts von den potenziellen Inhabern dieses Kryptowerts im Tausch gegen diesen Kryptowert Gebühren, Provisionen, monetäre oder nicht monetäre Vorteile erhält.</w:t>
      </w:r>
    </w:p>
    <w:p>
      <w:r>
        <w:t xml:space="preserve">Übersteigt der Gesamtgegenwert eines öffentlichen Angebots eines Kryptowerts unter den in Unterabsatz 1 Buchstabe d genannten Umständen in der Union in jedem Zwölfmonatszeitraum ab Beginn des ersten öffentlichen Angebots 1 000 000 EUR, so übermittelt der Anbieter der zuständigen Behörde eine Mitteilung mit einer Beschreibung des Angebots und einer Erläuterung, warum das Angebot gemäß Unterabsatz 1 Buchstabe d von diesem Titel ausgenommen ist.</w:t>
      </w:r>
    </w:p>
    <w:p>
      <w:r>
        <w:t xml:space="preserve">Auf der Grundlage der in Unterabsatz 3 genannten Mitteilung trifft die zuständige Behörde eine ordnungsgemäß begründete Entscheidung, wenn sie der Auffassung ist, dass die Tätigkeit nicht für eine Ausnahme als begrenztes Netz gemäß Unterabsatz 1 Buchstabe d in Betracht kommt, und unterrichtet den Anbieter entsprechend.</w:t>
      </w:r>
    </w:p>
    <w:p>
      <w:r>
        <w:t xml:space="preserve">(4) Die in den Absätzen 2 und 3 genannten Ausnahmen gelten nicht, wenn der Anbieter oder eine andere im Namen des Anbieters handelnde Person in einer Mitteilung seine bzw. ihre Absicht bekundet, die Zulassung zum Handel mit einem anderen Kryptowert als einem vermögenswertereferenzierten Token oder E-Geld-Token zu beantragen.</w:t>
      </w:r>
    </w:p>
    <w:p>
      <w:r>
        <w:t xml:space="preserve">(5) Für die Verwahrung und Verwaltung von Kryptowerten für Kunden oder für Transferdienstleistungen für Kryptowerte im Zusammenhang mit Kryptowerten, für die in Bezug auf das öffentliche Angebot eine Ausnahme gemäß Absatz 3 des vorliegenden Artikels besteht, ist eine Zulassung als Anbieter von Kryptowerte-Dienstleistungen gemäß Artikel 59 nicht erforderlich, es sei denn,</w:t>
      </w:r>
    </w:p>
    <w:p>
      <w:r>
        <w:t xml:space="preserve">a) es besteht ein anderes öffentliches Angebot für denselben Kryptowert und dieses Angebot fällt nicht unter die Ausnahme, oder</w:t>
      </w:r>
    </w:p>
    <w:p>
      <w:r>
        <w:t xml:space="preserve">b) der angebotene Kryptowert ist zum Handel auf einer Handelsplattform zugelassen.</w:t>
      </w:r>
    </w:p>
    <w:p>
      <w:r>
        <w:t xml:space="preserve">(6) Betrifft das öffentliche Angebot eines anderen Kryptowerts als einen vermögenswertereferenzierten Token oder E-Geld-Token einen Utility-Token für einen Dienst, der Zugang zu Waren und Dienstleistungen bietet, die es noch nicht gibt bzw. die noch nicht erbracht werden, so darf die Laufzeit des im Kryptowerte-Whitepaper beschriebenen öffentlichen Angebots zwölf Monate ab dem Tag der Veröffentlichung des Kryptowerte-Whitepapers nicht überschreiten.</w:t>
      </w:r>
    </w:p>
    <w:p>
      <w:r>
        <w:t xml:space="preserve">(7) Jedes spätere öffentliche Angebot eines anderen Kryptowerts als eines vermögenswertereferenzierten Token oder E-Geld-Token gilt als gesondertes öffentliches Angebot, für das die Anforderungen des Absatzes 1 gelten, unbeschadet der möglichen Anwendung der Absätze 2 und 3 auf das spätere öffentliche Angebot.</w:t>
      </w:r>
    </w:p>
    <w:p>
      <w:r>
        <w:t xml:space="preserve">Für ein späteres öffentliches Angebot eines anderen Kryptowerts als eines vermögenswertereferenzierten Token oder eines E-Geld-Token ist kein zusätzliches Kryptowerte-Whitepaper erforderlich, sofern ein Kryptowerte-Whitepaper gemäß den Artikeln 9 und 12 veröffentlicht wurde und die für die Erstellung dieses Whitepapers verantwortliche Person seiner Verwendung schriftlich zustimmt.</w:t>
      </w:r>
    </w:p>
    <w:p>
      <w:r>
        <w:t xml:space="preserve">(8) Ist ein öffentliches Angebot eines anderen Kryptowerts als eines vermögenswertereferenzierten Token oder eines E-Geld-Token von der Verpflichtung zur Veröffentlichung eines Kryptowerte-Whitepapers gemäß Absatz 2 oder 3 ausgenommen, wird aber dennoch freiwillig ein Whitepaper erstellt, so gilt dieser Titel.</w:t>
      </w:r>
    </w:p>
    <w:p>
      <w:r>
        <w:rPr>
          <w:color w:val="555555"/>
          <w:sz w:val="17"/>
        </w:rPr>
        <w:t xml:space="preserve">Zitiervorschlag: Art 4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