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38 MiCA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 Die EBA arbeitet gemeinsam mit der ESMA und der EZB Entwürfe technischer Regulierungsstandards zur Spezifizierung der Finanzinstrumente aus, die als hochliquide betrachtet werden können und mit minimalem Markt-, Kredit- und Konzentrationsrisiko nach Absatz 1 verbunden sind. Bei Spezifizierung dieser Finanzinstrumente berücksichtigt die EBA:</w:t>
      </w:r>
    </w:p>
    <w:p>
      <w:r>
        <w:t xml:space="preserve">a) die verschiedenen Arten von Vermögenswerten, auf die sich ein vermögenswertereferenzierter Token beziehen kann;</w:t>
      </w:r>
    </w:p>
    <w:p>
      <w:r>
        <w:t xml:space="preserve">b) die Korrelation zwischen den Vermögenswerten, auf die sich der vermögenswertereferenzierte Token bezieht, und den hochliquiden Finanzinstrumenten, in die der Emittent investieren könnte;</w:t>
      </w:r>
    </w:p>
    <w:p>
      <w:r>
        <w:t xml:space="preserve">c) die Liquiditätsdeckungsanforderung gemäß Artikel 412 der Verordnung (EU) Nr. 575/2013 und nach Maßgabe der Delegierten Verordnung (EU) 2015/61 der Kommission ( 15 );</w:t>
      </w:r>
    </w:p>
    <w:p>
      <w:r>
        <w:t xml:space="preserve">d) Konzentrationsbeschränkungen, die den Emittenten daran hindern,</w:t>
      </w:r>
    </w:p>
    <w:p>
      <w:r>
        <w:t xml:space="preserve">i) mehr als einen bestimmten Prozentsatz des Reservevermögens in hochliquide Finanzinstrumente mit minimalem Marktrisiko, Kreditrisiko und Konzentrationsrisiko, die von einem einzigen Unternehmen begeben werden, anzulegen;</w:t>
      </w:r>
    </w:p>
    <w:p>
      <w:r>
        <w:t xml:space="preserve">ii) mehr als einen bestimmten Prozentsatz von Kryptowerten oder Vermögenswerten befindlich bei Anbietern von Kryptowerte-Dienstleistungen oder Kreditinstituten, die derselben Gruppe im Sinne von Artikel 2 Absatz 11 der Richtlinie 2013/34/EU des Europäischen Parlaments und des Rates ( 16 ) angehören, oder Wertpapierfirmen zu verwahren. Für die Zwecke von Unterabsatz 1 Buchstabe d Ziffer i legt die EBA geeignete Grenzwerte zur Festlegung der Konzentrationsanforderungen fest. Diese Grenzwerte tragen unter anderem den in Artikel 52 der Richtlinie 2009/65/EG festgelegten einschlägigen Schwellenwerten Rechnung. Die EBA übermittelt der Kommission die in Unterabsatz 1 des vorliegenden Absatzes genannten Entwürfe technischer Regulierungsstandards bis zum 30. Juni 2024. Der Kommission wird die Befugnis übertragen, diese Verordnung durch die Annahme der in Unterabsatz 1 des vorliegenden Absatzes genannten technischen Regulierungsstandards gemäß den Artikeln 10 bis 14 der Verordnung (EU) Nr. 1093/2010 zu ergänzen.</w:t>
      </w:r>
    </w:p>
    <w:p>
      <w:r>
        <w:rPr>
          <w:color w:val="555555"/>
          <w:sz w:val="17"/>
        </w:rPr>
        <w:t xml:space="preserve">Zitiervorschlag: Art 38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