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MiCA — Kontinuierliche Unterrichtung der Inhaber vermögenswertereferenzierter Token</w:t>
      </w:r>
    </w:p>
    <w:p>
      <w:r>
        <w:rPr>
          <w:color w:val="555555"/>
          <w:sz w:val="18"/>
        </w:rPr>
        <w:t xml:space="preserve">MiCA</w:t>
      </w:r>
    </w:p>
    <w:p>
      <w:r>
        <w:rPr>
          <w:color w:val="555555"/>
          <w:sz w:val="18"/>
        </w:rPr>
        <w:t xml:space="preserve">Stand: 22.07.2026 (konsolidierte Textfassung, kein amtliches Inkrafttretensdatum)</w:t>
      </w:r>
    </w:p>
    <w:p>
      <w:r>
        <w:t xml:space="preserve">(1) Emittenten vermögenswertereferenzierter Token legen auf ihrer Website an einer öffentlich und leicht zugänglichen Stelle auf klare, präzise und transparente Weise den Betrag der in Umlauf befindlichen vermögenswertereferenzierten Token sowie den Wert und die Zusammensetzung der in Artikel 36 genannten Vermögenswertreserve offen. Diese Informationen müssen mindestens monatlich aktualisiert werden.</w:t>
      </w:r>
    </w:p>
    <w:p>
      <w:r>
        <w:t xml:space="preserve">(2) Emittenten vermögenswertereferenzierter Token veröffentlichen auf ihrer Website an einer öffentlich und leicht zugänglichen Stelle schnellstmöglich eine kurze, klare, präzise und transparente Zusammenfassung des Prüfberichts und den vollständigen und unbearbeiteten Prüfbericht in Bezug auf die in Artikel 36 genannte Vermögenswertreserve.</w:t>
      </w:r>
    </w:p>
    <w:p>
      <w:r>
        <w:t xml:space="preserve">(3) Unbeschadet des Artikels 88 legen Emittenten vermögenswertereferenzierter Token auf ihrer Website an einer öffentlich und leicht zugänglichen Stelle so schnell wie möglich und in klarer, präziser und transparenter Weise alle Ereignisse offen, die signifikante Auswirkungen auf den Wert der vermögenswertereferenzierten Token oder auf die in Artikel 36 genannte Vermögenswertreserve haben oder wahrscheinlich haben werden.</w:t>
      </w:r>
    </w:p>
    <w:p>
      <w:r>
        <w:rPr>
          <w:color w:val="555555"/>
          <w:sz w:val="17"/>
        </w:rPr>
        <w:t xml:space="preserve">Zitiervorschlag: Art 30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