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MiCA — Begriffsbestimmungen</w:t>
      </w:r>
    </w:p>
    <w:p>
      <w:r>
        <w:rPr>
          <w:color w:val="555555"/>
          <w:sz w:val="18"/>
        </w:rPr>
        <w:t xml:space="preserve">MiCA</w:t>
      </w:r>
    </w:p>
    <w:p>
      <w:r>
        <w:rPr>
          <w:color w:val="555555"/>
          <w:sz w:val="18"/>
        </w:rPr>
        <w:t xml:space="preserve">Stand: 22.07.2026 (konsolidierte Textfassung, kein amtliches Inkrafttretensdatum)</w:t>
      </w:r>
    </w:p>
    <w:p>
      <w:r>
        <w:t xml:space="preserve">(1) Für die Zwecke dieser Verordnung bezeichnet der Ausdruck</w:t>
      </w:r>
    </w:p>
    <w:p>
      <w:r>
        <w:t xml:space="preserve">1. „Distributed-Ledger-Technologie“ oder „DLT“ eine Technologie, die den Betrieb und die Nutzung von Distributed Ledgern ermöglicht;</w:t>
      </w:r>
    </w:p>
    <w:p>
      <w:r>
        <w:t xml:space="preserve">2. „Distributed Ledger“ einen Informationsspeicher, der Aufzeichnungen über Transaktionen enthält und der unter Verwendung eines Konsensmechanismus auf eine Reihe von DLT-Netzwerkknoten verteilt und zwischen ihnen synchronisiert wird;</w:t>
      </w:r>
    </w:p>
    <w:p>
      <w:r>
        <w:t xml:space="preserve">3. „Konsensmechanismus“ die Regeln und Verfahren, durch die eine Übereinstimmung unter DLT-Netzwerkknoten dahingehend erzielt wird, dass eine Transaktion validiert ist;</w:t>
      </w:r>
    </w:p>
    <w:p>
      <w:r>
        <w:t xml:space="preserve">4. „DLT-Netzwerkknoten“ ein Gerät oder Verfahren, das Teil eines Netzwerks ist und das eine vollständige oder partielle Kopie von Aufzeichnungen aller Transaktionen in einem Distributed Ledger enthält;</w:t>
      </w:r>
    </w:p>
    <w:p>
      <w:r>
        <w:t xml:space="preserve">5. „Kryptowert“ eine digitale Darstellung eines Werts oder eines Rechts, der bzw. das unter Verwendung der Distributed-Ledger-Technologie oder einer ähnlichen Technologie elektronisch übertragen und gespeichert werden kann;</w:t>
      </w:r>
    </w:p>
    <w:p>
      <w:r>
        <w:t xml:space="preserve">6. „vermögenswertereferenzierter Token“ einen Kryptowert, der kein E-Geld-Token ist und dessen Wertstabilität durch Bezugnahme auf einen anderen Wert oder ein anderes Recht oder eine Kombination davon, einschließlich einer oder mehrerer amtlicher Währungen, gewahrt werden soll;</w:t>
      </w:r>
    </w:p>
    <w:p>
      <w:r>
        <w:t xml:space="preserve">7. „E-Geld-Token“ einen Kryptowert, dessen Wertstabilität unter Bezugnahme auf den Wert einer amtlichen Währung gewahrt werden soll;</w:t>
      </w:r>
    </w:p>
    <w:p>
      <w:r>
        <w:t xml:space="preserve">8. „amtliche Währung“ eine amtliche Währung eines Landes, die von einer Zentralbank oder einer anderen Währungsbehörde ausgegeben wird;</w:t>
      </w:r>
    </w:p>
    <w:p>
      <w:r>
        <w:t xml:space="preserve">9. „Utility-Token“ einen Kryptowert, der ausschließlich dazu bestimmt ist, Zugang zu einer Ware oder Dienstleistung zu verschaffen, die von seinem Emittenten bereitgestellt wird;</w:t>
      </w:r>
    </w:p>
    <w:p>
      <w:r>
        <w:t xml:space="preserve">10. „Emittent“ eine natürliche oder juristische Person oder ein anderes Unternehmen, die bzw. das Kryptowerte emittiert;</w:t>
      </w:r>
    </w:p>
    <w:p>
      <w:r>
        <w:t xml:space="preserve">11. „antragstellender Emittenten“ einen Emittenten von vermögenswertereferenzierten Token oder E-Geld-Token, der die Zulassung dieser Kryptowerte zum öffentlichen Anbieten oder zum Handel beantragt;</w:t>
      </w:r>
    </w:p>
    <w:p>
      <w:r>
        <w:t xml:space="preserve">12. „öffentliches Angebot“ eine Mitteilung an Personen in jedweder Form und auf jedwede Art und Weise, die ausreichende Informationen über die Angebotsbedingungen und die anzubietenden Kryptowerte enthält, um potenzielle Inhaber in die Lage zu versetzen, über den Kauf dieser Kryptowerte zu entscheiden;</w:t>
      </w:r>
    </w:p>
    <w:p>
      <w:r>
        <w:t xml:space="preserve">13. „Anbieter“ eine natürliche oder juristische Person oder ein anderes Unternehmen, die bzw. das Kryptowerte öffentlich anbietet, oder den Emittenten, der Kryptowerte öffentlich anbietet;</w:t>
      </w:r>
    </w:p>
    <w:p>
      <w:r>
        <w:t xml:space="preserve">14. „Geldbetrag“ einen Geldbetrag im Sinne von Artikel 4 Nummer 25 der Richtlinie (EU) 2015/2366;</w:t>
      </w:r>
    </w:p>
    <w:p>
      <w:r>
        <w:t xml:space="preserve">15. „Anbieter von Kryptowerte-Dienstleistungen“ jede juristische Person oder jedes andere Unternehmen, deren bzw. dessen berufliche oder gewerbliche Tätigkeit darin besteht, eine oder mehrere Kryptowerte-Dienstleistungen gewerblich für Kunden zu erbringen, und der bzw. dem es gestattet ist, gemäß Artikel 59 Kryptowerte-Dienstleistungen zu erbringen;</w:t>
      </w:r>
    </w:p>
    <w:p>
      <w:r>
        <w:t xml:space="preserve">16. „ Kryptowerte-Dienstleistungen “ eine der folgenden Dienstleistungen und Tätigkeiten im Zusammenhang mit Kryptowerten:</w:t>
      </w:r>
    </w:p>
    <w:p>
      <w:r>
        <w:t xml:space="preserve">a) Verwahrung und Verwaltung von Kryptowerten für Kunden;</w:t>
      </w:r>
    </w:p>
    <w:p>
      <w:r>
        <w:t xml:space="preserve">b) Betrieb einer Handelsplattform für Kryptowerte;</w:t>
      </w:r>
    </w:p>
    <w:p>
      <w:r>
        <w:t xml:space="preserve">c) Tausch von Kryptowerten gegen einen Geldbetrag;</w:t>
      </w:r>
    </w:p>
    <w:p>
      <w:r>
        <w:t xml:space="preserve">d) Tausch von Kryptowerten gegen andere Kryptowerte;</w:t>
      </w:r>
    </w:p>
    <w:p>
      <w:r>
        <w:t xml:space="preserve">e) Ausführung von Aufträgen über Kryptowerte für Kunden;</w:t>
      </w:r>
    </w:p>
    <w:p>
      <w:r>
        <w:t xml:space="preserve">f) Platzierung von Kryptowerten;</w:t>
      </w:r>
    </w:p>
    <w:p>
      <w:r>
        <w:t xml:space="preserve">g) Annahme und Übermittlung von Aufträgen über Kryptowerte für Kunden;</w:t>
      </w:r>
    </w:p>
    <w:p>
      <w:r>
        <w:t xml:space="preserve">h) Beratung zu Kryptowerten;</w:t>
      </w:r>
    </w:p>
    <w:p>
      <w:r>
        <w:t xml:space="preserve">i) Portfolioverwaltung von Kryptowerten;</w:t>
      </w:r>
    </w:p>
    <w:p>
      <w:r>
        <w:t xml:space="preserve">j) Erbringung von Transferdienstleistungen für Kryptowerte für Kunden;</w:t>
      </w:r>
    </w:p>
    <w:p>
      <w:r>
        <w:t xml:space="preserve">17. „Verwahrung und Verwaltung von Kryptowerten für Kunden“ die sichere Aufbewahrung oder Kontrolle von Kryptowerten oder der Mittel für den Zugang zu solchen Kryptowerten für Kunden, unter Umständen in Form privater kryptografischer Schlüssel;</w:t>
      </w:r>
    </w:p>
    <w:p>
      <w:r>
        <w:t xml:space="preserve">18. „Betrieb einer Handelsplattform für Kryptowerte“ die Verwaltung eines oder mehrerer multilateraler Systeme, die die Interessen einer Vielzahl Dritter am Kauf und Verkauf von Kryptowerten — im System und gemäß dessen Regeln — auf eine Weise zusammenführen oder deren Zusammenführung erleichtern, dass ein Vertrag über den Tausch von Kryptowerten entweder gegen einen Geldbetrag oder den Tausch von Kryptowerten gegen andere Kryptowerte zustande kommt;</w:t>
      </w:r>
    </w:p>
    <w:p>
      <w:r>
        <w:t xml:space="preserve">19. „Tausch von Kryptowerten gegen einen Geldbetrag“ den Abschluss von Verträgen mit Kunden über den Kauf oder Verkauf von Kryptowerten gegen einen Geldbetrag unter Einsatz eigenen Kapitals;</w:t>
      </w:r>
    </w:p>
    <w:p>
      <w:r>
        <w:t xml:space="preserve">20. „Tausch von Kryptowerten gegen andere Kryptowerte“ den Abschluss von Verträgen mit Kunden über den Kauf oder Verkauf von Kryptowerten gegen einen Geldbetrag unter Einsatz eigenen Kapitals;</w:t>
      </w:r>
    </w:p>
    <w:p>
      <w:r>
        <w:t xml:space="preserve">21. „Ausführung von Aufträgen über Kryptowerte für Kunden“ den Abschluss von Vereinbarungen für Kunden über den Kauf oder Verkauf eines oder mehrerer Kryptowerte oder die Zeichnung eines oder mehrerer Kryptowerte für Kunden, einschließlich des Abschlusses von Verträgen über den Verkauf von Kryptowerten zum Zeitpunkt ihres öffentlichen Angebots oder ihrer Zulassung zum Handel;</w:t>
      </w:r>
    </w:p>
    <w:p>
      <w:r>
        <w:t xml:space="preserve">22. „Platzierung von Kryptowerten“ die Vermarktung von Kryptowerten an Käufer im Namen oder für Rechnung des Anbieters oder einer mit dem Anbieter verbundenen Partei;</w:t>
      </w:r>
    </w:p>
    <w:p>
      <w:r>
        <w:t xml:space="preserve">23. „Annahme und Übermittlung von Aufträgen über Kryptowerte für Kunden“ die Annahme eines von einer Person erteilten Auftrags zum Kauf oder Verkauf eines oder mehrerer Kryptowerte oder zur Zeichnung eines oder mehrerer Kryptowerte und die Übermittlung dieses Auftrags an eine Drittpartei zur Ausführung</w:t>
      </w:r>
    </w:p>
    <w:p>
      <w:r>
        <w:t xml:space="preserve">24. „Beratung zu Kryptowerten“ das Angebot oder die Abgabe personalisierter Empfehlungen an Kunden oder die Vereinbarung der Abgabe solcher Empfehlungen auf Ersuchen des Kunden oder auf Initiative des die Beratung leistenden Anbieters von Kryptowerte-Dienstleistungen hinsichtlich eines oder mehrerer Geschäfte in Bezug auf Kryptowerte oder die Nutzung von Kryptowerte-Dienstleistungen;</w:t>
      </w:r>
    </w:p>
    <w:p>
      <w:r>
        <w:t xml:space="preserve">25. „Portfolioverwaltung von Kryptowerten“ die Verwaltung von Portfolios auf Einzelkundenbasis mit einem Ermessensspielraum im Rahmen eines Mandats des Kunden, sofern diese Portfolios einen oder mehrere Kryptowerte enthalten;</w:t>
      </w:r>
    </w:p>
    <w:p>
      <w:r>
        <w:t xml:space="preserve">26. „Transferdienstleistungen für Kryptowerte für Kunden“ das Erbringen von Dienstleistungen zur Übertragung von Kryptowerten von einer Distributed Ledger-Adresse oder einem Distributed-Ledger-Konto auf eine andere solche Adresse oder ein anderes solches Konto für eine natürliche oder juristische Person;</w:t>
      </w:r>
    </w:p>
    <w:p>
      <w:r>
        <w:t xml:space="preserve">27. „Leitungsorgan“ das Organ — oder die Organe — eines Emittenten, eines Anbieters oder einer Person, die eine Zulassung zum Handel beantragt, oder eines Anbieters von Kryptowerte-Dienstleistungen, die nach nationalem Recht bestellt wurden, die befugt sind, Strategie, Ziele und Gesamtpolitik des Unternehmens festzulegen, und die die Entscheidungen der Geschäftsführung des Unternehmens kontrollieren und überwachen, und Personen umfasst, die die Geschäfte des Unternehmens tatsächlich führen;</w:t>
      </w:r>
    </w:p>
    <w:p>
      <w:r>
        <w:t xml:space="preserve">28. „Kreditinstitut“ ein Kreditinstitut im Sinne von Artikel 4 Absatz 1 Nummer 1 der Verordnung (EU) Nr. 575/2013 und mit einer Zulassung gemäß der Richtlinie 2013/36/EU;</w:t>
      </w:r>
    </w:p>
    <w:p>
      <w:r>
        <w:t xml:space="preserve">29. „Wertpapierfirma“ eine Wertpapierfirma im Sinne von Artikel 4 Absatz 1 Nummer 2 der Verordnung (EU) Nr. 575/2013 und mit einer Zulassung gemäß der Richtlinie 2014/65/EU;</w:t>
      </w:r>
    </w:p>
    <w:p>
      <w:r>
        <w:t xml:space="preserve">30. „qualifizierte Anleger“ Personen oder Einrichtungen, die in Anhang II Abschnitt I Nummern 1 bis 4 der Richtlinie 2014/65/EU aufgeführt sind;</w:t>
      </w:r>
    </w:p>
    <w:p>
      <w:r>
        <w:t xml:space="preserve">31. „enge Verbindungen“ enge Verbindungen im Sinne von Artikel 4 Absatz 1 Nummer 35 der Richtlinie 2014/65/EU;</w:t>
      </w:r>
    </w:p>
    <w:p>
      <w:r>
        <w:t xml:space="preserve">32. „Vermögenswertreserve“ den Korb mit Reservevermögen, mit dem die Forderung gegenüber dem Emittenten besichert wird;</w:t>
      </w:r>
    </w:p>
    <w:p>
      <w:r>
        <w:t xml:space="preserve">33. „Herkunftsmitgliedstaat“</w:t>
      </w:r>
    </w:p>
    <w:p>
      <w:r>
        <w:t xml:space="preserve">a) bei Anbietern von anderen Kryptowerten als vermögenswertereferenzierten Token oder E-Geld-Token oder Personen, die die Zulassung solcher Kryptowerte zum Handel beantragen, die ihren Sitz in der Union haben, den Mitgliedstaat, in dem der Anbieter oder die Person seinen bzw. ihren Sitz hat;</w:t>
      </w:r>
    </w:p>
    <w:p>
      <w:r>
        <w:t xml:space="preserve">b) bei Anbietern von anderen Kryptowerten als vermögenswertereferenzierten Token oder E-Geld-Token oder Personen, die die Zulassung solcher Kryptowerte zum Handel beantragen, die zwar keinen Sitz, dafür aber eine oder mehrere Zweigniederlassungen in der Union haben, den Mitgliedstaat, den der Anbieter oder die Person aus den Mitgliedstaaten, in denen er bzw. sie Zweigniederlassungen hat, auswählt;</w:t>
      </w:r>
    </w:p>
    <w:p>
      <w:r>
        <w:t xml:space="preserve">c) bei Anbietern von anderen Kryptowerten als vermögenswertereferenzierten Token oder E-Geld-Token oder Personen, die die Zulassung solcher Kryptowerte zum Handel beantragen, die ihren Sitz in einem Drittland und keine Zweigniederlassung in der Union haben, entweder den Mitgliedstaat, in dem die Kryptowerte erstmals öffentlich angeboten werden sollen, oder je nach Wahl des Anbieters oder der Person, die eine Zulassung zum Handel beantragt, den Mitgliedstaat, in dem der erste Antrag auf Zulassung zum Handel mit diesen Kryptowerte gestellt wird;</w:t>
      </w:r>
    </w:p>
    <w:p>
      <w:r>
        <w:t xml:space="preserve">d) bei Emittenten vermögenswertereferenzierter Token den Mitgliedstaat, in dem der Emittent vermögenswertereferenzierter Token seinen Sitz hat;</w:t>
      </w:r>
    </w:p>
    <w:p>
      <w:r>
        <w:t xml:space="preserve">e) bei Emittenten von E-Geld-Token die Mitgliedstaaten, in denen der Emittent von E-Geld-Token als Kreditinstitut gemäß der Richtlinie 2013/36/EU oder als E-Geld-Institut gemäß der Richtlinie 2009/110/EG zugelassen ist;</w:t>
      </w:r>
    </w:p>
    <w:p>
      <w:r>
        <w:t xml:space="preserve">f) bei Anbietern von Kryptowerte-Dienstleistungen den Mitgliedstaat, in dem der Anbieter von Kryptowerte-Dienstleistungen seinen Sitz hat;</w:t>
      </w:r>
    </w:p>
    <w:p>
      <w:r>
        <w:t xml:space="preserve">34. „Aufnahmemitgliedstaat“ den Mitgliedstaat, in dem ein Anbieter oder die Person, die eine Zulassung zum Handel beantragt, Kryptowerte öffentlich anbietet oder deren Zulassung zum Handel beantragt oder in dem ein Anbieter von Kryptowerte-Dienstleistungen erbringt, wenn dies nicht der Herkunftsmitgliedstaat ist;</w:t>
      </w:r>
    </w:p>
    <w:p>
      <w:r>
        <w:t xml:space="preserve">35. „zuständige Behörde“ eine oder mehrere Behörden,</w:t>
      </w:r>
    </w:p>
    <w:p>
      <w:r>
        <w:t xml:space="preserve">a) die von jedem Mitgliedstaat gemäß Artikel 93 bezüglich Anbietern von anderen Kryptowerten als vermögenswertereferenzierten Token und E-Geld-Token und Personen, die eine Zulassung zum Handel beantragen, Emittenten vermögenswertereferenzierter Token oder Anbietern von Kryptowerte-Dienstleistungen benannt wird bzw. werden;</w:t>
      </w:r>
    </w:p>
    <w:p>
      <w:r>
        <w:t xml:space="preserve">b) die von jedem Mitgliedstaat für die Zwecke der Anwendung der Richtlinie 2009/110/EG bezüglich Emittenten von E-Geld-Token benannt wird bzw. werden;</w:t>
      </w:r>
    </w:p>
    <w:p>
      <w:r>
        <w:t xml:space="preserve">36. „qualifizierte Beteiligung“ das direkte oder indirekte Halten einer Beteiligung an einem Emittenten vermögenswertereferenzierter Token oder einem Anbieter von Kryptowerte-Dienstleistungen, die mindestens 10 % des Kapitals oder der Stimmrechte gemäß den Artikeln 9 bzw. 10 der Richtlinie 2004/109/EG des Europäischen Parlaments und des Rates ( 6 ) unter Berücksichtigung der Voraussetzungen für das Zusammenrechnen der Beteiligungen nach Artikel 12 Absätze 4 und 5 jener Richtlinie ausmacht oder die Ausübung eines maßgeblichen Einflusses auf die Geschäftsführung eines Emittenten vermögenswertereferenzierter Token oder die Geschäftsführung des Anbieters von Kryptowerte-Dienstleistungen, an der eine solche Beteiligung gehalten wird, ermöglicht;</w:t>
      </w:r>
    </w:p>
    <w:p>
      <w:r>
        <w:t xml:space="preserve">37. „Kleinanleger“ jede natürliche Person, die zu Zwecken handelt, die außerhalb ihrer gewerblichen, geschäftlichen, handwerklichen oder beruflichen Tätigkeit liegen;</w:t>
      </w:r>
    </w:p>
    <w:p>
      <w:r>
        <w:t xml:space="preserve">38. „Online-Schnittstelle“ eine Software, einschließlich einer Website, eines Teils einer Website oder einer Anwendung, die von einem Anbieter oder einem Anbieter von Kryptowerte-Dienstleistungen oder in seinem Namen betrieben wird und dazu dient, Inhabern von Kryptowerten Zugang zu ihren Kryptowerten und Kunden von Kryptowerte-Dienstleistungen Zugang zu ihren Kryptowerte-Dienstleistungen zu gewähren;</w:t>
      </w:r>
    </w:p>
    <w:p>
      <w:r>
        <w:t xml:space="preserve">39. „Kunde“ eine natürliche oder juristische Person, für die ein Anbieter von Kryptowerte-Dienstleistungen erbringt;</w:t>
      </w:r>
    </w:p>
    <w:p>
      <w:r>
        <w:t xml:space="preserve">40. „Zusammenführung sich deckender Kundenaufträge“ die Zusammenführung sich deckender Kundenaufträge im Sinne von Artikel 4 Absatz 1 Nummer 38 der Richtlinie 2014/65/EU;</w:t>
      </w:r>
    </w:p>
    <w:p>
      <w:r>
        <w:t xml:space="preserve">41. „Zahlungsdienst“ einen Zahlungsdienst im Sinne von Artikel 4 Nummer 3 der Richtlinie (EU) 2015/2366;</w:t>
      </w:r>
    </w:p>
    <w:p>
      <w:r>
        <w:t xml:space="preserve">42. „Zahlungsdienstleister“ einen Zahlungsdienstleiter im Sinne von Artikel 4 Nummer 11 der Richtlinie (EU) 2015/2366;</w:t>
      </w:r>
    </w:p>
    <w:p>
      <w:r>
        <w:t xml:space="preserve">43. „E-Geld-Institut“ ein E-Geld-Institut im Sinne von Artikel 2 Nummer 1 der Richtlinie 2009/110/EG;</w:t>
      </w:r>
    </w:p>
    <w:p>
      <w:r>
        <w:t xml:space="preserve">44. „E-Geld“ E-Geld im Sinne von Artikel 2 Nummer 2 der Richtlinie 2009/110/EG;</w:t>
      </w:r>
    </w:p>
    <w:p>
      <w:r>
        <w:t xml:space="preserve">45. „personenbezogene Daten“ personenbezogene Daten im Sinne des Artikels 4 Nummer 1 der Verordnung (EU) 2016/679;</w:t>
      </w:r>
    </w:p>
    <w:p>
      <w:r>
        <w:t xml:space="preserve">46. „Zahlungsinstitut“ ein Zahlungsinstitut im Sinne von Artikel 4 Nummer 4 der Richtlinie (EU) 2015/2366;</w:t>
      </w:r>
    </w:p>
    <w:p>
      <w:r>
        <w:t xml:space="preserve">47. „OGAW-Verwaltungsgesellschaft“ eine Verwaltungsgesellschaft im Sinne von Artikel 2 Nummer 1 Buchstabe b der Richtlinie 2009/65/EG des Europäischen Parlaments und des Rates ( 7 );</w:t>
      </w:r>
    </w:p>
    <w:p>
      <w:r>
        <w:t xml:space="preserve">48. „Verwalter alternativer Investmentfonds“ einen Verwalter alternativer Investmentfonds (AIFM) im Sinne von Artikel 4 Absatz 1 Buchstabe b der Richtlinie 2011/61/EU des Europäischen Parlaments und des Rates ( 8 );</w:t>
      </w:r>
    </w:p>
    <w:p>
      <w:r>
        <w:t xml:space="preserve">49. „Finanzinstrument“ Finanzinstrument im Sinne des Artikels 4 Absatz 1 Nummer 15 der Richtlinie 2014/65/EU;</w:t>
      </w:r>
    </w:p>
    <w:p>
      <w:r>
        <w:t xml:space="preserve">50. „Einlage“ eine Einlage im Sinne des Artikels 2 Absatz 1 Nummer 3 der Richtlinie 2014/49/EU;</w:t>
      </w:r>
    </w:p>
    <w:p>
      <w:r>
        <w:t xml:space="preserve">51. „strukturierte Einlage“ eine strukturierte Einlage im Sinne des Artikels 4 Absatz 1 Nummer 43 der Richtlinie 2014/65/EU.</w:t>
      </w:r>
    </w:p>
    <w:p>
      <w:r>
        <w:t xml:space="preserve">(2) Die Kommission erlässt gemäß Artikel 139 delegierte Rechtsakte zur Ergänzung dieser Verordnung durch die genauere Festlegung der technischen Aspekte der Begriffsbestimmungen von Absatz 1 des vorliegenden Artikels und zur Anpassung dieser Begriffsbestimmungen an Marktentwicklungen und technologische Entwicklungen.</w:t>
      </w:r>
    </w:p>
    <w:p>
      <w:r>
        <w:rPr>
          <w:color w:val="555555"/>
          <w:sz w:val="17"/>
        </w:rPr>
        <w:t xml:space="preserve">Zitiervorschlag: Art 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