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29 MiCA — Marketingmitteilungen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Marketingmitteilungen zu einem öffentlichen Angebot eines vermögenswertereferenzierten Token oder zur Zulassung eines solchen vermögenswertereferenzierter Token zum Handel müssen jede der folgenden Anforderungen erfüllen:</w:t>
      </w:r>
    </w:p>
    <w:p>
      <w:r>
        <w:t xml:space="preserve">a) Die Marketingmitteilungen sind eindeutig als solche erkennbar;</w:t>
      </w:r>
    </w:p>
    <w:p>
      <w:r>
        <w:t xml:space="preserve">b) die Informationen in den Marketingmitteilungen sind redlich, eindeutig und nicht irreführend;</w:t>
      </w:r>
    </w:p>
    <w:p>
      <w:r>
        <w:t xml:space="preserve">c) die Informationen in den Marketingmitteilungen stimmen mit den Angaben im Kryptowerte-Whitepaper überein;</w:t>
      </w:r>
    </w:p>
    <w:p>
      <w:r>
        <w:t xml:space="preserve">d) in den Marketingmitteilungen wird eindeutig darauf hingewiesen, dass ein Kryptowerte-Whitepaper veröffentlicht wurde, und es wird eindeutig die Adresse der Website des Emittenten des vermögenswertereferenzierten Token angegeben, sowie eine Telefonnummer und E-Mail-Adresse des Emittenten für die Kontaktaufnahme.</w:t>
      </w:r>
    </w:p>
    <w:p>
      <w:r>
        <w:t xml:space="preserve">(2) In den Marketingmitteilungen wird klar und eindeutig angegeben, dass Inhaber des vermögenswertreferenzierten Token beim Emittenten jederzeit ein Recht auf Rücktausch haben.</w:t>
      </w:r>
    </w:p>
    <w:p>
      <w:r>
        <w:t xml:space="preserve">(3) Marketingmitteilungen und jegliche sie betreffende Änderungen werden auf der Website des Emittenten veröffentlicht.</w:t>
      </w:r>
    </w:p>
    <w:p>
      <w:r>
        <w:t xml:space="preserve">(4) Die zuständigen Behörden verlangen keine Vorabgenehmigung von Marketingmitteilungen vor ihrer Veröffentlichung.</w:t>
      </w:r>
    </w:p>
    <w:p>
      <w:r>
        <w:t xml:space="preserve">(5) Marketingmitteilungen werden den zuständigen Behörden auf Anfrage übermittelt.</w:t>
      </w:r>
    </w:p>
    <w:p>
      <w:r>
        <w:t xml:space="preserve">(6) Vor der Veröffentlichung des Kryptowerte-Whitepapers dürfen keine Marketingmitteilungen verbreitet werden. Diese Beschränkung hindert den Emittenten des vermögenswertreferenzierten Token nicht daran, Marktsondierungen durchzuführen.</w:t>
      </w:r>
    </w:p>
    <w:p>
      <w:r>
        <w:rPr>
          <w:color w:val="555555"/>
          <w:sz w:val="17"/>
        </w:rPr>
        <w:t xml:space="preserve">Zitiervorschlag: Art 29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