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27 MiCA — Pflicht zu ehrlichem, redlichem und professionellem Handeln im besten Interesse der Inhaber vermögenswertereferenzierter Token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Emittenten vermögenswertereferenzierter Token handeln ehrlich, redlich und professionell und kommunizieren mit den Inhabern und potenziellen Inhabern vermögenswertereferenzierter Token auf redliche, eindeutige und nicht irreführende Weise.</w:t>
      </w:r>
    </w:p>
    <w:p>
      <w:r>
        <w:t xml:space="preserve">(2) Emittenten vermögenswertereferenzierter Token handeln im besten Interesse der Inhaber solcher Token und behandeln sie gleich, es sei denn, im Kryptowerte-Whitepaper und, falls relevant, in den Marketingmitteilungen ist eine Vorzugsbehandlung vorgesehen.</w:t>
      </w:r>
    </w:p>
    <w:p>
      <w:r>
        <w:rPr>
          <w:color w:val="555555"/>
          <w:sz w:val="17"/>
        </w:rPr>
        <w:t xml:space="preserve">Zitiervorschlag: Art 27 MiCA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https://recht.nulegal.eu/gesetze/MiCA/27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