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MiCA — Beschränkungen der Ausgabe vermögenswertereferenzierter Token, die gemeinhin als Tauschmittel verwendet werden</w:t>
      </w:r>
    </w:p>
    <w:p>
      <w:r>
        <w:rPr>
          <w:color w:val="555555"/>
          <w:sz w:val="18"/>
        </w:rPr>
        <w:t xml:space="preserve">MiCA</w:t>
      </w:r>
    </w:p>
    <w:p>
      <w:r>
        <w:rPr>
          <w:color w:val="555555"/>
          <w:sz w:val="18"/>
        </w:rPr>
        <w:t xml:space="preserve">Stand: 22.07.2026 (konsolidierte Textfassung, kein amtliches Inkrafttretensdatum)</w:t>
      </w:r>
    </w:p>
    <w:p>
      <w:r>
        <w:t xml:space="preserve">(1) Übersteigen bei einem bestimmten vermögenswertereferenzierten Token die geschätzte durchschnittliche Zahl und der geschätzte durchschnittliche aggregierte Wert der Transaktionen pro Tag im Zusammenhang mit der Verwendung als Tauschmittel für ein Quartal innerhalb eines einheitlichen Währungsraums eine Million Transaktionen bzw. 200 000 000 EUR, so muss der Emittent</w:t>
      </w:r>
    </w:p>
    <w:p>
      <w:r>
        <w:t xml:space="preserve">a) die Ausgabe dieses vermögenswertereferenzierten Token einstellen und</w:t>
      </w:r>
    </w:p>
    <w:p>
      <w:r>
        <w:t xml:space="preserve">b) der zuständigen Behörde innerhalb von 40 Arbeitstagen nach Erreichen dieses Schwellenwerts einen Plan vorlegen, um sicherzustellen, dass die geschätzte durchschnittliche Zahl und der durchschnittliche aggregierte Wert dieser Transaktionen pro Tag unter einer Million Transaktionen bzw. 200 000 000 EUR gehalten werden.</w:t>
      </w:r>
    </w:p>
    <w:p>
      <w:r>
        <w:t xml:space="preserve">(2) Um zu beurteilen, ob der in Absatz 1 genannte Schwellenwert erreicht wird, verwendet die zuständige Behörde die vom Emittenten bereitgestellten Informationen, ihre eigenen Schätzungen oder die Schätzungen der EZB oder gegebenenfalls der in Artikel 20 Absatz 4 genannten Zentralbank, je nachdem, welcher Wert höher ist.</w:t>
      </w:r>
    </w:p>
    <w:p>
      <w:r>
        <w:t xml:space="preserve">(3) Geben mehrere Emittenten denselben vermögenswertereferenzierten Token aus, so werden die in Absatz 1 genannten Kriterien nach Aggregation der Daten aller Emittenten von der zuständigen Behörde bewertet.</w:t>
      </w:r>
    </w:p>
    <w:p>
      <w:r>
        <w:t xml:space="preserve">(4) Der Emittent legt der zuständigen Behörde den in Absatz 1 Buchstabe b genannten Plan zur Genehmigung vor. Die zuständige Behörde verlangt erforderlichenfalls Änderungen, etwa die Festlegung einer Mindeststückelung, um einen zügigen Rückgang der Verwendung des vermögenswertereferenzierten Token als Tauschmittel sicherzustellen.</w:t>
      </w:r>
    </w:p>
    <w:p>
      <w:r>
        <w:t xml:space="preserve">(5) Die zuständige Behörde darf es dem Emittenten nur dann gestatten, den vermögenswertereferenzierten Token erneut auszugeben, wenn sie über Belege verfügt, dass die geschätzte durchschnittliche Zahl und der durchschnittliche aggregierte Wert der Transaktionen pro Tag im Zusammenhang mit seiner Verwendung als Tauschmittel innerhalb eines einheitlichen Währungsraums weniger als eine Million Transaktionen bzw. 200 000 000 EUR betragen.</w:t>
      </w:r>
    </w:p>
    <w:p>
      <w:r>
        <w:rPr>
          <w:color w:val="555555"/>
          <w:sz w:val="17"/>
        </w:rPr>
        <w:t xml:space="preserve">Zitiervorschlag: Art 23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https://recht.nulegal.eu/gesetze/MiCA/23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