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22 MiCA — Berichterstattung über vermögenswertereferenzierte Token</w:t>
      </w:r>
    </w:p>
    <w:p>
      <w:r>
        <w:rPr>
          <w:color w:val="555555"/>
          <w:sz w:val="18"/>
        </w:rPr>
        <w:t xml:space="preserve">MiCA</w:t>
      </w:r>
    </w:p>
    <w:p>
      <w:r>
        <w:rPr>
          <w:color w:val="555555"/>
          <w:sz w:val="18"/>
        </w:rPr>
        <w:t xml:space="preserve">Stand: 22.07.2026 (konsolidierte Textfassung, kein amtliches Inkrafttretensdatum)</w:t>
      </w:r>
    </w:p>
    <w:p>
      <w:r>
        <w:t xml:space="preserve">(1) Bei jedem vermögenswertereferenzierten Token mit einem Ausgabewert von mehr als 100 000 000 EUR berichtet der Emittent der zuständigen Behörde vierteljährlich folgende Informationen:</w:t>
      </w:r>
    </w:p>
    <w:p>
      <w:r>
        <w:t xml:space="preserve">a) die Zahl der Inhaber;</w:t>
      </w:r>
    </w:p>
    <w:p>
      <w:r>
        <w:t xml:space="preserve">b) den Wert des ausgegebenen vermögenswertereferenzierten Token und den Umfang der Vermögenswertreserve;</w:t>
      </w:r>
    </w:p>
    <w:p>
      <w:r>
        <w:t xml:space="preserve">c) die durchschnittliche Zahl und den durchschnittlichen aggregierten Wert der Transaktionen pro Tag im entsprechenden Quartal;</w:t>
      </w:r>
    </w:p>
    <w:p>
      <w:r>
        <w:t xml:space="preserve">d) eine Schätzung der durchschnittlichen Zahl und des durchschnittlichen aggregierten Werts der Transaktionen pro Tag im entsprechenden Quartal, die mit ihrer Verwendung als Tauschmittel innerhalb eines einheitlichen Währungsraums zusammenhängen.</w:t>
      </w:r>
    </w:p>
    <w:p>
      <w:r>
        <w:t xml:space="preserve">Für die Zwecke von Unterabsatz 1 Buchstaben c und d ist unter „Transaktion“ eine Änderung der natürlichen oder juristischen Person zu verstehen, die infolge der Übertragung des vermögenswertereferenzierten Token von einer Distributed-Ledger-Adresse auf eine andere oder von einem Distributed-Ledger-Konto auf ein anderes Anspruch auf der vermögenswertereferenzierte Token hat.</w:t>
      </w:r>
    </w:p>
    <w:p>
      <w:r>
        <w:t xml:space="preserve">Transaktionen, die mit dem Tausch gegen einen Geldbetrag oder andere Kryptowerte bei dem Emittenten oder bei einem Anbieter von Kryptowerte-Dienstleistungen zusammenhängen, gelten nicht als mit der Verwendung des vermögenswertereferenzierten Token als Tauschmittel in Zusammenhang stehend, es sei denn, es gibt Belege dafür, dass der vermögenswertereferenzierte Token für die Abwicklung von Transaktionen mit anderen Kryptowerten verwendet wird.</w:t>
      </w:r>
    </w:p>
    <w:p>
      <w:r>
        <w:t xml:space="preserve">(2) Die zuständige Behörde kann von Emittenten vermögenswertereferenzierter Token verlangen, der Berichterstattungspflicht nach Absatz 1 in Bezug auf vermögenswertereferenzierte Token nachzukommen, die mit einem Wert von weniger als 100 000 000 EUR ausgegeben wurden.</w:t>
      </w:r>
    </w:p>
    <w:p>
      <w:r>
        <w:t xml:space="preserve">(3) Anbieter von Kryptowerte-Dienstleistungen, die Dienstleistungen im Zusammenhang mit vermögenswertereferenzierten Token anbieten, stellen dem Emittenten des vermögenswertreferenzierten Token die für die Vorbereitung der Meldung gemäß Absatz 1 erforderlichen Informationen zur Verfügung, unter anderem durch die Meldung von Transaktionen außerhalb des Distributed Ledgers.</w:t>
      </w:r>
    </w:p>
    <w:p>
      <w:r>
        <w:t xml:space="preserve">(4) Die zuständige Behörde leitet die erhaltenen Informationen an die EZB und gegebenenfalls an die Zentralbank nach Artikel 20 Absatz 4 sowie an die zuständigen Behörden der Aufnahmemitgliedstaaten weiter.</w:t>
      </w:r>
    </w:p>
    <w:p>
      <w:r>
        <w:t xml:space="preserve">(5) Die EZB und gegebenenfalls die Zentralbank nach Artikel 20 Absatz 4 können der zuständigen Behörde für ein Quartal ihre eigenen Schätzungen der durchschnittlichen Zahl und des durchschnittlichen aggregierten Wertes der Transaktionen pro Tag im Zusammenhang mit der Verwendung vermögenswertereferenzierter Token als Tauschmittel in ihrem jeweiligen Währungsraum vorlegen.</w:t>
      </w:r>
    </w:p>
    <w:p>
      <w:r>
        <w:t xml:space="preserve">(6) Die EBA erarbeitet in enger Zusammenarbeit mit der EZB Entwürfe technischer Regulierungsstandards zur Spezifizierung der Methodik für die Schätzung für ein Quartal der durchschnittlichen Zahl und des durchschnittlichen aggregierten Werts der Transaktionen pro Tag im Zusammenhang mit der Verwendung des wertereferenzierten Token als Tauschmittel in einem einzelnen einheitlichen Währungsraum.</w:t>
      </w:r>
    </w:p>
    <w:p>
      <w:r>
        <w:t xml:space="preserve">Die EBA übermittelt der Kommission die in Unterabsatz 1 genannten Entwürfe technischer Regulierungsstandards spätestens am 30. Juni 2024.</w:t>
      </w:r>
    </w:p>
    <w:p>
      <w:r>
        <w:t xml:space="preserve">Der Kommission wird die Befugnis übertragen, diese Verordnung durch die Annahme der in Unterabsatz 1 dieses Absatzes genannten technischen Regulierungsstandards gemäß den Artikeln 10 bis 14 der Verordnung (EU) Nr. 1093/2010 zu ergänzen.</w:t>
      </w:r>
    </w:p>
    <w:p>
      <w:r>
        <w:t xml:space="preserve">(7) Die EBA arbeitet Entwürfe technischer Durchführungsstandards aus, um Standardformulare, Standardformate und Mustertexte für die Zwecke der Berichterstattung gemäß Absatz 1 und das Zurverfügungstellen der Information gemäß Absatz 3 festzulegen.</w:t>
      </w:r>
    </w:p>
    <w:p>
      <w:r>
        <w:t xml:space="preserve">Die EBA übermittelt der Kommission die in Unterabsatz 1 genannten Entwürfe technischer Durchführungsstandards spätestens am 30. Juni 2024.</w:t>
      </w:r>
    </w:p>
    <w:p>
      <w:r>
        <w:t xml:space="preserve">Der Kommission wird die Befugnis übertragen, die in Unterabsatz 1 dieses Absatzes genannten technischen Durchführungsstandards gemäß Artikel 15 der Verordnung (EU) Nr. 1093/2010 zu erlassen.</w:t>
      </w:r>
    </w:p>
    <w:p>
      <w:r>
        <w:rPr>
          <w:color w:val="555555"/>
          <w:sz w:val="17"/>
        </w:rPr>
        <w:t xml:space="preserve">Zitiervorschlag: Art 22 MiCA</w:t>
      </w:r>
    </w:p>
    <w:p>
      <w:r>
        <w:rPr>
          <w:color w:val="555555"/>
          <w:sz w:val="17"/>
        </w:rPr>
        <w:t xml:space="preserve">Quelle: EUR-Lex, abgerufen 25.08.2026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https://recht.nulegal.eu/gesetze/MiCA/22</w:t>
      </w:r>
    </w:p>
    <w:p>
      <w:r>
        <w:rPr>
          <w:color w:val="767676"/>
          <w:sz w:val="15"/>
        </w:rPr>
        <w:t xml:space="preserve">nu:legal · recht.nulegal.eu · Nicht-amtliche Lesefassung. Amtliche Fassung: eur-lex.europa.eu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