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20 MiCA — Prüfung des Zulassungsantrags</w:t>
      </w:r>
    </w:p>
    <w:p>
      <w:r>
        <w:rPr>
          <w:color w:val="555555"/>
          <w:sz w:val="18"/>
        </w:rPr>
        <w:t xml:space="preserve">MiCA</w:t>
      </w:r>
    </w:p>
    <w:p>
      <w:r>
        <w:rPr>
          <w:color w:val="555555"/>
          <w:sz w:val="18"/>
        </w:rPr>
        <w:t xml:space="preserve">Stand: 22.07.2026 (konsolidierte Textfassung, kein amtliches Inkrafttretensdatum)</w:t>
      </w:r>
    </w:p>
    <w:p>
      <w:r>
        <w:t xml:space="preserve">(1) Zuständige Behörden, bei denen gemäß Artikel 18 eine Zulassung beantragt wird, prüfen innerhalb von 25 Arbeitstagen nach Eingang des Antrags, ob dieser, einschließlich des in Artikel 19 genannten Kryptowerte-Whitepapers, alle erforderlichen Informationen enthält. Sie teilen dem antragstellenden Emittenten umgehend mit, ob im Antrag, einschließlich des Kryptowerte-Whitepapers, erforderliche Informationen fehlen. Ist der Antrag, einschließlich des Kryptowerte-Whitepapers, nicht vollständig, setzen die zuständigen Behörden dem antragstellenden Emittenten eine Frist, bis zu der er etwaige fehlende Informationen vorlegen muss.</w:t>
      </w:r>
    </w:p>
    <w:p>
      <w:r>
        <w:t xml:space="preserve">(2) Die zuständigen Behörden prüfen innerhalb von 60 Arbeitstagen nach Eingang eines vollständigen Antrags, ob der antragstellende Emittent die Anforderungen dieses Titels erfüllt, und erstellen einen umfassend begründeten Entwurf einer Entscheidung über die Erteilung oder Ablehnung der Zulassung. Innerhalb dieser 60 Arbeitstage kann die zuständige Behörde vom antragstellenden Emittenten weitere Informationen über den Antrag anfordern, einschließlich Informationen über das in Artikel 19 genannte Kryptowerte-Whitepaper.</w:t>
      </w:r>
    </w:p>
    <w:p>
      <w:r>
        <w:t xml:space="preserve">Während des Prüfungsverfahrens können die zuständigen Behörden mit den für die Bekämpfung von Geldwäsche und Terrorismusfinanzierung zuständigen Behörden, den Zentralstellen für Geldwäsche-Verdachtsanzeigen oder anderen öffentlichen Stellen zusammenarbeiten.</w:t>
      </w:r>
    </w:p>
    <w:p>
      <w:r>
        <w:t xml:space="preserve">(3) Die Prüfungsfrist gemäß den Absätzen 1 und 2 ist für den Zeitraum zwischen dem Tag der Anforderung der fehlenden Information durch die zuständigen Behörden und dem Eingang einer Antwort des antragstellenden Emittenten bei diesen ausgesetzt. Die Aussetzung darf 20 Arbeitstage nicht überschreiten. Die Anforderung weiterer Ergänzungen oder Klarstellungen zu den Informationen liegt im Ermessen der zuständigen Behörde, führt jedoch nicht zu einer Aussetzung der Prüfungsfrist gemäß den Absätzen 1 und 2.</w:t>
      </w:r>
    </w:p>
    <w:p>
      <w:r>
        <w:t xml:space="preserve">(4) Die zuständigen Behörden übermitteln nach Ablauf des in Absatz 2 genannten Zeitraums von 60 Arbeitstagen ihren Entwurf einer Entscheidung zusammen mit dem Antrag an die EBA, ESMA und EZB. Ist der antragstellende Emittent in einem Mitgliedstaat niedergelassen, dessen amtliche Währung nicht der Euro ist, oder wenn eine amtliche Währung eines Mitgliedstaats, die nicht der Euro ist, als Bezugsgröße für die vermögenswertereferenzierten Token, so übermitteln die zuständigen Behörden ihren Entwurf einer Entscheidung und den Antrag auch der Zentralbank des betreffenden Mitgliedstaats.</w:t>
      </w:r>
    </w:p>
    <w:p>
      <w:r>
        <w:t xml:space="preserve">(5) Die EBA und die ESMA geben auf Ersuchen der zuständigen Behörde innerhalb von 20 Arbeitstagen nach Eingang des Entwurfs der Entscheidung und des Antrags eine Stellungnahme zu ihrer Bewertung des in Artikel 18 Absatz 2 Buchstabe e genannten Rechtsgutachtens ab und übermitteln ihre jeweiligen Stellungnahmen der betroffenen zuständigen Behörde.</w:t>
      </w:r>
    </w:p>
    <w:p>
      <w:r>
        <w:t xml:space="preserve">Die EZB oder gegebenenfalls die in Absatz 4 genannte Zentralbank gibt innerhalb von 20 Arbeitstagen nach Eingang des Entwurfs einer Entscheidung und des Antrags eine Stellungnahme zu ihrer Bewertung der Risiken, die die Ausgabe dieses vermögenswertereferenzierten Token für die Finanzstabilität, das reibungslose Funktionieren der Zahlungssysteme, die geldpolitische Transmission und die Währungshoheit mit sich bringen könnte, ab und übermittelt ihre Stellungnahme der betroffenen zuständigen Behörde.</w:t>
      </w:r>
    </w:p>
    <w:p>
      <w:r>
        <w:t xml:space="preserve">Unbeschadet von Artikel 21 Absatz 4 sind die in den Unterabsätzen 1 und 2 des vorliegenden Absatzes genannten Stellungnahmen nicht verbindlich.</w:t>
      </w:r>
    </w:p>
    <w:p>
      <w:r>
        <w:t xml:space="preserve">Die in den Unterabsätzen 1 und 2 des vorliegenden Absatzes genannten Stellungnahmen müssen von der zuständigen Behörde jedoch gebührend berücksichtigt werden.</w:t>
      </w:r>
    </w:p>
    <w:p>
      <w:r>
        <w:rPr>
          <w:color w:val="555555"/>
          <w:sz w:val="17"/>
        </w:rPr>
        <w:t xml:space="preserve">Zitiervorschlag: Art 20 MiCA</w:t>
      </w:r>
    </w:p>
    <w:p>
      <w:r>
        <w:rPr>
          <w:color w:val="555555"/>
          <w:sz w:val="17"/>
        </w:rPr>
        <w:t xml:space="preserve">Quelle: EUR-Lex, abgerufen 25.08.2026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https://recht.nulegal.eu/gesetze/MiCA/20</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