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 MiCA — Anwendungsbereich</w:t>
      </w:r>
    </w:p>
    <w:p>
      <w:r>
        <w:rPr>
          <w:color w:val="555555"/>
          <w:sz w:val="18"/>
        </w:rPr>
        <w:t xml:space="preserve">MiCA</w:t>
      </w:r>
    </w:p>
    <w:p>
      <w:r>
        <w:rPr>
          <w:color w:val="555555"/>
          <w:sz w:val="18"/>
        </w:rPr>
        <w:t xml:space="preserve">Stand: 22.07.2026 (konsolidierte Textfassung, kein amtliches Inkrafttretensdatum)</w:t>
      </w:r>
    </w:p>
    <w:p>
      <w:r>
        <w:t xml:space="preserve">(1)</w:t>
      </w:r>
    </w:p>
    <w:p>
      <w:r>
        <w:t xml:space="preserve">(2) Diese Verordnung gilt nicht für</w:t>
      </w:r>
    </w:p>
    <w:p>
      <w:r>
        <w:t xml:space="preserve">a) Personen, die Kryptowerte-Dienstleistungen ausschließlich für ihre Mutterunternehmen, ihre eigenen Tochterunternehmen oder andere Tochterunternehmen ihrer Mutterunternehmen erbringen;</w:t>
      </w:r>
    </w:p>
    <w:p>
      <w:r>
        <w:t xml:space="preserve">b) Liquidatoren oder Verwalter, die im Laufe eines Insolvenzverfahrens handeln, außer für die Zwecke des Artikels 47;</w:t>
      </w:r>
    </w:p>
    <w:p>
      <w:r>
        <w:t xml:space="preserve">c) die EZB, die Zentralbanken der Mitgliedstaaten, wenn sie in ihrer Eigenschaft als Währungsbehörde handeln, oder andere Behörden der Mitgliedstaaten;</w:t>
      </w:r>
    </w:p>
    <w:p>
      <w:r>
        <w:t xml:space="preserve">d) die Europäische Investitionsbank und ihre Tochtergesellschaften;</w:t>
      </w:r>
    </w:p>
    <w:p>
      <w:r>
        <w:t xml:space="preserve">e) die Europäische Finanzstabilisierungsfazilität und den Europäischen Stabilitätsmechanismus;</w:t>
      </w:r>
    </w:p>
    <w:p>
      <w:r>
        <w:t xml:space="preserve">f) internationale Organisationen des öffentlichen Rechts.</w:t>
      </w:r>
    </w:p>
    <w:p>
      <w:r>
        <w:t xml:space="preserve">(3)</w:t>
      </w:r>
    </w:p>
    <w:p>
      <w:r>
        <w:t xml:space="preserve">(4) Diese Verordnung gilt nicht für Kryptowerte, die einer oder mehreren der folgenden Kategorien angehören:</w:t>
      </w:r>
    </w:p>
    <w:p>
      <w:r>
        <w:t xml:space="preserve">a) Finanzinstrumente;</w:t>
      </w:r>
    </w:p>
    <w:p>
      <w:r>
        <w:t xml:space="preserve">b) Einlagen einschließlich strukturierter Einlagen;</w:t>
      </w:r>
    </w:p>
    <w:p>
      <w:r>
        <w:t xml:space="preserve">c) Geldbeträge, sofern diese nicht als E-Geld-Token einzustufen sind;</w:t>
      </w:r>
    </w:p>
    <w:p>
      <w:r>
        <w:t xml:space="preserve">d) Verbriefungspositionen im Zusammenhang mit einer Verbriefung im Sinne von Artikel 2 Nummer 1 der Verordnung (EU) 2017/2402;</w:t>
      </w:r>
    </w:p>
    <w:p>
      <w:r>
        <w:t xml:space="preserve">e) Nichtlebensversicherungs- oder Lebensversicherungsprodukte, die unter die in den Anhängen I und II der Richtlinie 2009/138/EG des Europäischen Parlaments und des Rates ( 1 ) aufgeführten Versicherungszweige fallen, oder Rückversicherungs- und Retrozessionsverträge im Sinne ebendieser Richtlinie;</w:t>
      </w:r>
    </w:p>
    <w:p>
      <w:r>
        <w:t xml:space="preserve">f) Altersvorsorgeprodukte, die nach nationalem Recht als Produkte anerkannt sind, deren Zweck in erster Linie darin besteht, dem Anleger im Ruhestand ein Einkommen zu gewähren, und mit denen dem Anleger ein Anspruch auf bestimmte Leistungen eingeräumt wird;</w:t>
      </w:r>
    </w:p>
    <w:p>
      <w:r>
        <w:t xml:space="preserve">g) amtlich anerkannte betriebliche Altersversorgungssysteme, die in den Anwendungsbereich der Richtlinie (EU) 2016/2341 des Europäischen Parlaments und des Rates ( 2 ) oder der Richtlinie 2009/138/EG fallen;</w:t>
      </w:r>
    </w:p>
    <w:p>
      <w:r>
        <w:t xml:space="preserve">h) individuelle Altersvorsorgeprodukte, für die nach nationalem Recht ein finanzieller Beitrag des Arbeitgebers vorgeschrieben ist und die bzw. deren Anbieter weder der Arbeitgeber noch der Beschäftigte selbst wählen kann;</w:t>
      </w:r>
    </w:p>
    <w:p>
      <w:r>
        <w:t xml:space="preserve">i) ein Paneuropäisches Privates Pensionsprodukt im Sinne von Artikel 2 Nummer 2 der Verordnung (EU) 2019/1238 des Europäischen Parlaments und des Rates ( 3 );</w:t>
      </w:r>
    </w:p>
    <w:p>
      <w:r>
        <w:t xml:space="preserve">j) Systeme der sozialen Sicherheit, die in den Anwendungsbereich der Verordnungen (EG) Nr. 883/2004 ( 4 ) und (EG) Nr. 987/2009 des Europäischen Parlaments und des Rates ( 5 ) fallen.</w:t>
      </w:r>
    </w:p>
    <w:p>
      <w:r>
        <w:t xml:space="preserve">(5)</w:t>
      </w:r>
    </w:p>
    <w:p>
      <w:r>
        <w:t xml:space="preserve">(6)</w:t>
      </w:r>
    </w:p>
    <w:p>
      <w:r>
        <w:rPr>
          <w:color w:val="555555"/>
          <w:sz w:val="17"/>
        </w:rPr>
        <w:t xml:space="preserve">Zitiervorschlag: Art 2 MiCA</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