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MiCA — Beantragung der Zulassung</w:t>
      </w:r>
    </w:p>
    <w:p>
      <w:r>
        <w:rPr>
          <w:color w:val="555555"/>
          <w:sz w:val="18"/>
        </w:rPr>
        <w:t xml:space="preserve">MiCA</w:t>
      </w:r>
    </w:p>
    <w:p>
      <w:r>
        <w:rPr>
          <w:color w:val="555555"/>
          <w:sz w:val="18"/>
        </w:rPr>
        <w:t xml:space="preserve">Stand: 22.07.2026 (konsolidierte Textfassung, kein amtliches Inkrafttretensdatum)</w:t>
      </w:r>
    </w:p>
    <w:p>
      <w:r>
        <w:t xml:space="preserve">(1) Juristische Personen oder andere Unternehmen, die beabsichtigen, vermögenswertereferenzierte Token öffentlich anzubieten oder deren Zulassung zum Handel zu beantragen, stellen ihren Antrag auf Zulassung nach Artikel 16 bei der zuständigen Behörde ihres Herkunftsmitgliedstaats.</w:t>
      </w:r>
    </w:p>
    <w:p>
      <w:r>
        <w:t xml:space="preserve">(2) Der in Absatz 1 genannte Antrag muss alle folgenden Informationen enthalten:</w:t>
      </w:r>
    </w:p>
    <w:p>
      <w:r>
        <w:t xml:space="preserve">a) Anschrift des antragstellenden Emittenten;</w:t>
      </w:r>
    </w:p>
    <w:p>
      <w:r>
        <w:t xml:space="preserve">b) Rechtsträgerkennung des antragstellenden Emittenten;</w:t>
      </w:r>
    </w:p>
    <w:p>
      <w:r>
        <w:t xml:space="preserve">c) Satzung des antragstellenden Emittenten, sofern zutreffend;</w:t>
      </w:r>
    </w:p>
    <w:p>
      <w:r>
        <w:t xml:space="preserve">d) Geschäftsplan mit Angabe des Geschäftsmodells, das der antragstellende Emittent zu befolgen beabsichtigt;</w:t>
      </w:r>
    </w:p>
    <w:p>
      <w:r>
        <w:t xml:space="preserve">e) Rechtsgutachten, dem zufolge der vermögenswertereferenzierte Token nicht als eines der Folgenden einzustufen ist:</w:t>
      </w:r>
    </w:p>
    <w:p>
      <w:r>
        <w:t xml:space="preserve">i) ein Kryptowert, der gemäß Artikel 2 Absatz 4 vom Anwendungsbereich dieser Verordnung ausgenommen ist, oder</w:t>
      </w:r>
    </w:p>
    <w:p>
      <w:r>
        <w:t xml:space="preserve">ii) ein E-Geld-Token;</w:t>
      </w:r>
    </w:p>
    <w:p>
      <w:r>
        <w:t xml:space="preserve">f) detaillierte Beschreibung der Regelungen des antragstellenden Emittenten zur Unternehmensführung nach Artikel 34 Absatz 1;</w:t>
      </w:r>
    </w:p>
    <w:p>
      <w:r>
        <w:t xml:space="preserve">g) wenn Kooperationsvereinbarungen mit konkreten Anbietern von Kryptowerte-Dienstleistungen bestehen, eine Beschreibung der Mechanismen und Verfahren für die interne Kontrolle, mit denen die Einhaltung der Verpflichtungen im Zusammenhang mit der Verhinderung von Geldwäsche und Terrorismusfinanzierung gemäß der Richtlinie (EU) 2015/849 sichergestellt wird;</w:t>
      </w:r>
    </w:p>
    <w:p>
      <w:r>
        <w:t xml:space="preserve">h) Identität der Mitglieder des Leitungsorgans des antragstellenden Emittenten;</w:t>
      </w:r>
    </w:p>
    <w:p>
      <w:r>
        <w:t xml:space="preserve">i) Nachweis, dass die unter Buchstabe h genannten Personen ausreichend gut beleumundet sind und über die angemessenen Kenntnisse, Fähigkeiten und Erfahrungen verfügen, um den antragstellenden Emittenten zu führen;</w:t>
      </w:r>
    </w:p>
    <w:p>
      <w:r>
        <w:t xml:space="preserve">j) Nachweis, dass Anteilseigner oder Gesellschafter, die direkt oder indirekt qualifizierte Beteiligungen an dem antragstellenden Emittenten halten, ausreichend gut beleumundet sind;</w:t>
      </w:r>
    </w:p>
    <w:p>
      <w:r>
        <w:t xml:space="preserve">k) das in Artikel 19 genannte Kryptowerte-Whitepaper;</w:t>
      </w:r>
    </w:p>
    <w:p>
      <w:r>
        <w:t xml:space="preserve">l) die in Artikel 34 Absatz 5 Unterabsatz 1 genannten Strategien und Verfahren;</w:t>
      </w:r>
    </w:p>
    <w:p>
      <w:r>
        <w:t xml:space="preserve">m) Beschreibung der in Artikel 34 Absatz 5 Unterabsatz 2 genannten vertraglichen Vereinbarungen mit Drittunternehmen;</w:t>
      </w:r>
    </w:p>
    <w:p>
      <w:r>
        <w:t xml:space="preserve">n) Beschreibung der in Artikel 34 Absatz 9 genannten Strategie zur Fortführung des Geschäftsbetriebs des antragstellenden Emittenten;</w:t>
      </w:r>
    </w:p>
    <w:p>
      <w:r>
        <w:t xml:space="preserve">o) Beschreibung der in Artikel 34 Absatz 10 genannten Mechanismen für die interne Kontrolle und Risikomanagementverfahren;</w:t>
      </w:r>
    </w:p>
    <w:p>
      <w:r>
        <w:t xml:space="preserve">p) Beschreibung der in Artikel 34 Absatz 11 genannten Systeme und Verfahren zum Schutz der Verfügbarkeit, Authentizität, Integrität und Vertraulichkeit von Daten;</w:t>
      </w:r>
    </w:p>
    <w:p>
      <w:r>
        <w:t xml:space="preserve">q) Beschreibung der in Artikel 31 genannten Beschwerdeverfahren des antragstellenden Emittenten;</w:t>
      </w:r>
    </w:p>
    <w:p>
      <w:r>
        <w:t xml:space="preserve">r) gegebenenfalls eine Liste der Aufnahmemitgliedstaaten, in denen der antragstellende Emittent beabsichtigt, den vermögenswertereferenzierten Token öffentlich anzubieten oder die Zulassung des vermögenswertereferenzierten Token zum Handel zu beantragen.</w:t>
      </w:r>
    </w:p>
    <w:p>
      <w:r>
        <w:t xml:space="preserve">(3) Emittenten, die bereits eine Zulassung zur Ausgabe eines vermögenswertreferenzierten Token erhalten haben, sind nicht verpflichtet, der zuständigen Behörde bereits von ihnen übermittelte Informationen zur Zulassung eines anderen vermögenswertreferenzierten Token erneut zu übermitteln, wenn diese Informationen identisch wären. Bei der Übermittlung der in Absatz 2 aufgeführten Informationen bestätigt der Emittent ausdrücklich, dass alle nicht erneut übermittelten Informationen noch aktuell sind.</w:t>
      </w:r>
    </w:p>
    <w:p>
      <w:r>
        <w:t xml:space="preserve">(4) Die zuständige Behörde bestätigt dem antragstellenden Emittenten den Eingang des Antrags gemäß Absatz 1 umgehend, in jedem Fall aber innerhalb von zwei Arbeitstagen schriftlich.</w:t>
      </w:r>
    </w:p>
    <w:p>
      <w:r>
        <w:t xml:space="preserve">(5) Für die Zwecke von Absatz 2 Buchstaben i und j liefert der antragstellende Emittent des vermögenswertreferenzierten Token Nachweise dafür,</w:t>
      </w:r>
    </w:p>
    <w:p>
      <w:r>
        <w:t xml:space="preserve">a) dass es für Mitglieder des Leitungsorgans keine Einträge im Strafregister in Bezug auf Verurteilungen oder Strafen nach dem geltenden Handelsrecht, Insolvenzrecht und Finanzdienstleistungsrecht, oder im Zusammenhang mit der Bekämpfung von Geldwäsche und Terrorismusfinanzierung, Betrug oder Berufshaftpflicht gibt;</w:t>
      </w:r>
    </w:p>
    <w:p>
      <w:r>
        <w:t xml:space="preserve">b) dass die Mitglieder des Leitungsorgans des antragstellenden Emittenten vermögenswertereferenzierter Token kollektiv über die angemessene Kenntnisse, Fähigkeiten und Erfahrungen verfügen, um den Emittenten des vermögenswertreferenzierten Token zu verwalten, und dass diese Personen verpflichtet sind, ausreichend Zeit für die Wahrnehmung ihrer Aufgaben aufzuwenden.</w:t>
      </w:r>
    </w:p>
    <w:p>
      <w:r>
        <w:t xml:space="preserve">c) dass es für keine Anteilseigner oder Gesellschafter, die direkt oder indirekt qualifizierte Beteiligungen an dem antragstellenden Emittenten halten, Einträge im Strafregister in Bezug auf Verurteilungen oder Strafen nach dem geltenden Handelsrecht, dem Insolvenzrecht und dem Finanzdienstleistungsrecht, oder im Zusammenhang mit der Bekämpfung von Geldwäsche und Terrorismusfinanzierung, Betrug oder Berufshaftpflicht gibt.</w:t>
      </w:r>
    </w:p>
    <w:p>
      <w:r>
        <w:t xml:space="preserve">(6) Die EBA arbeitet in enger Zusammenarbeit mit der ESMA und der EZB Entwürfe technischer Regulierungsstandards aus, um die in Absatz 2 genannten Informationen näher zu präzisieren.</w:t>
      </w:r>
    </w:p>
    <w:p>
      <w:r>
        <w:t xml:space="preserve">Die EBA übermittelt der Kommission die in Unterabsatz 1 genannten Entwürfe technischer Regulierungsstandards spätestens am 30. Juni 2024.</w:t>
      </w:r>
    </w:p>
    <w:p>
      <w:r>
        <w:t xml:space="preserve">Der Kommission wird die Befugnis übertragen, diese Verordnung durch die Annahme der in Unterabsatz 1 dieses Absatzes genannten technischen Regulierungsstandards gemäß den Artikeln 10 bis 14 der Verordnung (EU) Nr. 1093/2010 zu ergänzen.</w:t>
      </w:r>
    </w:p>
    <w:p>
      <w:r>
        <w:t xml:space="preserve">(7) Die EBA arbeitet in enger Zusammenarbeit mit der ESMA Entwürfe technischer Durchführungsstandards zur Festlegung von Standardformularen, Mustertexten und Verfahren für die in den Antrag aufzunehmenden Informationen aus, um im Gebiet der Union für Einheitlichkeit zu sorgen.</w:t>
      </w:r>
    </w:p>
    <w:p>
      <w:r>
        <w:t xml:space="preserve">Die EBA übermittelt der Kommission die in Unterabsatz 1 genannten Entwürfe technischer Durchführungsstandards spätestens am 30. Juni 2024.</w:t>
      </w:r>
    </w:p>
    <w:p>
      <w:r>
        <w:t xml:space="preserve">Der Kommission wird die Befugnis übertragen, die in Unterabsatz 1 genannten technischen Durchführungsstandards gemäß Artikel 15 der Verordnung (EU) Nr. 1093/2010 zu erlassen.</w:t>
      </w:r>
    </w:p>
    <w:p>
      <w:r>
        <w:rPr>
          <w:color w:val="555555"/>
          <w:sz w:val="17"/>
        </w:rPr>
        <w:t xml:space="preserve">Zitiervorschlag: Art 18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