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148 MiCA — Umsetzung der Änderungen der Richtlinien 2013/36/EU und (EU) 2019/1937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Mitgliedstaaten erlassen und veröffentlichen bis zum 30. Dezember 2024 die Rechts- und Verwaltungsvorschriften an, die erforderlich sind, um den Artikeln 146 und 147 nachzukommen.</w:t>
      </w:r>
    </w:p>
    <w:p>
      <w:r>
        <w:t xml:space="preserve">(2) Die Mitgliedstaaten teilen der Kommission, der EBA und der ESMA den Wortlaut der wichtigsten nationalen Vorschriften mit, die sie auf dem unter Artikel 116 fallenden Gebiet erlassen.</w:t>
      </w:r>
    </w:p>
    <w:p>
      <w:r>
        <w:rPr>
          <w:color w:val="555555"/>
          <w:sz w:val="17"/>
        </w:rPr>
        <w:t xml:space="preserve">Zitiervorschlag: Art 148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https://recht.nulegal.eu/gesetze/MiCA/148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