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147 MiCA — Änderung der Richtlinie (EU) 2019/1937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In Teil I.B des Anhangs der Richtlinie (EU) 2019/1937 wird folgende Nummer angefügt:</w:t>
      </w:r>
    </w:p>
    <w:p>
      <w:r>
        <w:t xml:space="preserve">„xxii) Verordnung (EU) 2023/1114 des Europäischen Parlaments und des Rates vom 31. Mai 2023 über Märkte für Kryptowerte und zur Änderung der Verordnungen (EU) Nr. 1093/2010 und (EU) Nr. 1095/2010 sowie der Richtlinien 2013/36/EU und (EU) 2019/1937 (ABl. L 150 vom 9.6.2023, S. 40).“</w:t>
      </w:r>
    </w:p>
    <w:p>
      <w:r>
        <w:rPr>
          <w:color w:val="555555"/>
          <w:sz w:val="17"/>
        </w:rPr>
        <w:t xml:space="preserve">Zitiervorschlag: Art 147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https://recht.nulegal.eu/gesetze/MiCA/147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