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146 MiCA — Änderung der Richtlinie 2013/36/EU</w:t>
      </w:r>
    </w:p>
    <w:p>
      <w:r>
        <w:rPr>
          <w:color w:val="555555"/>
          <w:sz w:val="18"/>
        </w:rPr>
        <w:t xml:space="preserve">MiCA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In Anhang I der Richtlinie 2013/36/EU erhält Nummer 15 folgende Fassung:</w:t>
      </w:r>
    </w:p>
    <w:p>
      <w:r>
        <w:t xml:space="preserve">„15. Ausgabe von E-Geld, einschließlich E-Geld-Token im Sinne des Artikels 3 Absatz 1 Nummer 7 der Verordnung (EU) 2023/1114 des Europäischen Parlaments und des Rates ( *13 ).</w:t>
      </w:r>
    </w:p>
    <w:p>
      <w:r>
        <w:t xml:space="preserve">16. Ausgabe von vermögenswertereferenzierten Token im Sinne des Artikels 3 Absatz 1 Nummer 6 der Verordnung (EU) 2023/1114.</w:t>
      </w:r>
    </w:p>
    <w:p>
      <w:r>
        <w:t xml:space="preserve">17. Kryptowerte-Dienstleistungen im Sinne des Artikels 3 Absatz 1 Nummer 16 der Verordnung (EU) 2023/1114.</w:t>
      </w:r>
    </w:p>
    <w:p>
      <w:r>
        <w:rPr>
          <w:color w:val="555555"/>
          <w:sz w:val="17"/>
        </w:rPr>
        <w:t xml:space="preserve">Zitiervorschlag: Art 146 MiCA</w:t>
      </w:r>
    </w:p>
    <w:p>
      <w:r>
        <w:rPr>
          <w:color w:val="555555"/>
          <w:sz w:val="17"/>
        </w:rPr>
        <w:t xml:space="preserve">Quelle: EUR-Lex, abgerufen 21.07.2026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https://recht.nulegal.eu/gesetze/MiCA/146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