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143 MiCA — Übergangsmaßnahmen</w:t>
      </w:r>
    </w:p>
    <w:p>
      <w:r>
        <w:rPr>
          <w:color w:val="555555"/>
          <w:sz w:val="18"/>
        </w:rPr>
        <w:t xml:space="preserve">MiCA</w:t>
      </w:r>
    </w:p>
    <w:p>
      <w:r>
        <w:rPr>
          <w:color w:val="555555"/>
          <w:sz w:val="18"/>
        </w:rPr>
        <w:t xml:space="preserve">Stand: 22.07.2026 (konsolidierte Textfassung, kein amtliches Inkrafttretensdatum)</w:t>
      </w:r>
    </w:p>
    <w:p>
      <w:r>
        <w:t xml:space="preserve">(1) Die Artikel 4 bis 15 gelten nicht für öffentliche Angebote von Kryptowerten, die vor dem 30. Dezember 2024 abgelaufen sind.</w:t>
      </w:r>
    </w:p>
    <w:p>
      <w:r>
        <w:t xml:space="preserve">(2) Abweichend von Titel II gelten für andere Kryptowerte als vermögenswertereferenzierte Token und E-Geld-Token, die vor dem 30. Dezember 2024 zum Handel zugelassen wurden, nur die folgenden Anforderungen:</w:t>
      </w:r>
    </w:p>
    <w:p>
      <w:r>
        <w:t xml:space="preserve">a) Die Artikel 7 und 9 gelten für Marketingmitteilungen, die nach dem 30. Dezember 2024 veröffentlicht werden;</w:t>
      </w:r>
    </w:p>
    <w:p>
      <w:r>
        <w:t xml:space="preserve">b) Betreiber von Handelsplattformen stellen bis zum 31. Dezember 2027 sicher, dass in den in dieser Verordnung vorgeschriebenen Fällen ein Kryptowerte-Whitepaper gemäß den Artikeln 6, 8 und 9 erstellt, übermittelt und veröffentlicht und gemäß Artikel 12 aktualisiert wird.</w:t>
      </w:r>
    </w:p>
    <w:p>
      <w:r>
        <w:t xml:space="preserve">(3) Anbieter von Kryptowerte-Dienstleistungen, die ihre Dienste nach geltendem Recht vor dem 30. Dezember 2024 erbracht haben, dürfen damit bis zum 1. Juli 2026 oder bis zu dem Zeitpunkt fortfahren, zu dem sie eine Zulassung oder Verweigerung nach Artikel 63 erhalten, je nachdem, welcher Zeitpunkt zuerst eintritt.</w:t>
      </w:r>
    </w:p>
    <w:p>
      <w:r>
        <w:t xml:space="preserve">Die Mitgliedstaaten können beschließen, die in Unterabsatz 1 vorgesehene Übergangsregelung für Anbieter von Kryptowerte-Dienstleistungen nicht in Anspruch zu nehmen oder ihre Geltungsdauer zu verkürzen, wenn sie der Auffassung sind, dass ihr vor dem 30. Dezember 2024 geltender nationaler Rechtsrahmen weniger streng ist als diese Verordnung.</w:t>
      </w:r>
    </w:p>
    <w:p>
      <w:r>
        <w:t xml:space="preserve">Bis zum 30. Juni 2024 teilen die Mitgliedstaaten der Kommission und der ESMA mit, ob sie von der in Unterabsatz 2 vorgesehenen Möglichkeit Gebrauch gemacht haben, und geben die Dauer der Ausnahmeregelung an.</w:t>
      </w:r>
    </w:p>
    <w:p>
      <w:r>
        <w:t xml:space="preserve">(4) Emittenten vermögenswertereferenzierter Token, die keine Kreditinstitute sind und vermögenswertereferenzierte Token nach geltendem Recht vor dem 30. Juni 2024 ausgegeben haben, dürfen damit fortfahren, bis ihnen eine Zulassung gemäß Artikel 21 erteilt oder verweigert wird, sofern sie vor dem 30. Juli 2024 eine Zulassung beantragen.</w:t>
      </w:r>
    </w:p>
    <w:p>
      <w:r>
        <w:t xml:space="preserve">(5) Kreditinstitute, die vermögenswertereferenzierte Token nach geltendem Recht vor dem 30. Juni 2024 ausgegeben haben, dürfen damit fortfahren, bis das Kryptowerte-Whitepaper gemäß Artikel 17 genehmigt oder nicht genehmigt wurde, sofern sie die für sie zuständige Behörde gemäß Absatz 1 jenes Artikels vor dem 30. Juli 2024 darüber benachrichtigen.</w:t>
      </w:r>
    </w:p>
    <w:p>
      <w:r>
        <w:t xml:space="preserve">(6) Abweichend von den Artikeln 62 und 63 dürfen die Mitgliedstaaten bei Zulassungsanträgen, die zwischen dem 30. Dezember 2024 und dem 1. Juli 2026 von Unternehmen gestellt werden, die am 30. Dezember 2024 nach nationalem Recht für die Erbringung von Kryptowerte-Dienstleistungen zugelassen waren, ein vereinfachtes Verfahren anwenden. Bevor sie eine Zulassung nach diesen vereinfachten Verfahren erteilen, stellen die zuständigen Behörden sicher, dass Kapitel 2 und 3 des Titels V erfüllt sind.</w:t>
      </w:r>
    </w:p>
    <w:p>
      <w:r>
        <w:t xml:space="preserve">(7) Die EBA nimmt ihre Aufsichtsaufgaben nach Artikel 117 ab dem Geltungsbeginn der in Artikel 43 Absatz 11 genannten delegierten Rechtsakte wahr.</w:t>
      </w:r>
    </w:p>
    <w:p>
      <w:r>
        <w:rPr>
          <w:color w:val="555555"/>
          <w:sz w:val="17"/>
        </w:rPr>
        <w:t xml:space="preserve">Zitiervorschlag: Art 143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https://recht.nulegal.eu/gesetze/MiCA/143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