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142 MiCA — Bericht über die jüngsten Entwicklungen bei Kryptowerten</w:t>
      </w:r>
    </w:p>
    <w:p>
      <w:r>
        <w:rPr>
          <w:color w:val="555555"/>
          <w:sz w:val="18"/>
        </w:rPr>
        <w:t xml:space="preserve">MiCA</w:t>
      </w:r>
    </w:p>
    <w:p>
      <w:r>
        <w:rPr>
          <w:color w:val="555555"/>
          <w:sz w:val="18"/>
        </w:rPr>
        <w:t xml:space="preserve">Stand: 22.07.2026 (konsolidierte Textfassung, kein amtliches Inkrafttretensdatum)</w:t>
      </w:r>
    </w:p>
    <w:p>
      <w:r>
        <w:t xml:space="preserve">(1)</w:t>
      </w:r>
    </w:p>
    <w:p>
      <w:r>
        <w:t xml:space="preserve">(2) Der Bericht nach Absatz 1 enthält mindestens Folgendes:</w:t>
      </w:r>
    </w:p>
    <w:p>
      <w:r>
        <w:t xml:space="preserve">a) eine Bewertung der Entwicklung des dezentralen Finanzsektors auf den Märkten für Kryptowerte und der angemessenen regulatorischen Behandlung dezentraler Krypto-Systeme ohne Emittenten oder Anbieter von Kryptowerte-Dienstleistungen, einschließlich einer Bewertung der Notwendigkeit und Durchführbarkeit einer Regulierung des dezentralen Finanzsektors;</w:t>
      </w:r>
    </w:p>
    <w:p>
      <w:r>
        <w:t xml:space="preserve">b) eine Bewertung der Notwendigkeit und Durchführbarkeit der Regulierung der Kreditvergabe und Kreditaufnahme mit Kryptowerten;</w:t>
      </w:r>
    </w:p>
    <w:p>
      <w:r>
        <w:t xml:space="preserve">c) eine Bewertung der Behandlung von Dienstleistungen im Zusammenhang mit der Übertragung von E-Geld-Token, sofern dies nicht im Rahmen der Überprüfung der Richtlinie (EU) 2015/2366 erfolgte;</w:t>
      </w:r>
    </w:p>
    <w:p>
      <w:r>
        <w:t xml:space="preserve">d) eine Bewertung der Entwicklung von Märkten für einmalige und nicht fungible Kryptowerte und der angemessenen regulatorischen Behandlung solcher Kryptowerte, einschließlich einer Bewertung der Notwendigkeit und Durchführbarkeit einer Regulierung der Anbieter einmaliger und nicht fungibler Kryptowerte sowie der Anbieter von Dienstleistungen im Zusammenhang mit solchen Kryptowerten.</w:t>
      </w:r>
    </w:p>
    <w:p>
      <w:r>
        <w:rPr>
          <w:color w:val="555555"/>
          <w:sz w:val="17"/>
        </w:rPr>
        <w:t xml:space="preserve">Zitiervorschlag: Art 142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