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140 MiCA — Berichte über die Anwendung dieser Verordnung</w:t>
      </w:r>
    </w:p>
    <w:p>
      <w:r>
        <w:rPr>
          <w:color w:val="555555"/>
          <w:sz w:val="18"/>
        </w:rPr>
        <w:t xml:space="preserve">MiCA</w:t>
      </w:r>
    </w:p>
    <w:p>
      <w:r>
        <w:rPr>
          <w:color w:val="555555"/>
          <w:sz w:val="18"/>
        </w:rPr>
        <w:t xml:space="preserve">Stand: 22.07.2026 (konsolidierte Textfassung, kein amtliches Inkrafttretensdatum)</w:t>
      </w:r>
    </w:p>
    <w:p>
      <w:r>
        <w:t xml:space="preserve">(1) Bis zum 30. Juni 2027 legt die Kommission nach Anhörung der EBA und der ESMA dem Europäischen Parlament und dem Rat einen Bericht über die Anwendung dieser Verordnung vor, dem gegebenenfalls ein Gesetzgebungsvorschlag beigefügt ist. Bis zum 30. Juni 2025 wird ein Zwischenbericht vorgelegt, dem gegebenenfalls ein Gesetzgebungsvorschlag beigefügt ist.</w:t>
      </w:r>
    </w:p>
    <w:p>
      <w:r>
        <w:t xml:space="preserve">(2) Die Berichte gemäß Absatz 1 enthalten Folgendes:</w:t>
      </w:r>
    </w:p>
    <w:p>
      <w:r>
        <w:t xml:space="preserve">a) die Anzahl der Emissionen von Kryptowerten in der Union, die Anzahl der den zuständigen Behörden vorgelegten und übermittelten Kryptowerte-Whitepaper, die Art der ausgegebenen Kryptowerte und ihre Marktkapitalisierung und die Anzahl der zum Handel zugelassenen Kryptowerte;</w:t>
      </w:r>
    </w:p>
    <w:p>
      <w:r>
        <w:t xml:space="preserve">b) eine Beschreibung der Erfahrungen mit der Einstufung von Kryptowerten, einschließlich möglicher Unterschiede bei den Ansätzen der zuständigen Behörden;</w:t>
      </w:r>
    </w:p>
    <w:p>
      <w:r>
        <w:t xml:space="preserve">c) eine Bewertung, ob die Einführung eines Genehmigungsverfahrens für Krypotwerte-Whitepaper für andere Kryptowerte als vermögenswertereferenzierte Token oder E-Geld-Token notwendig ist;</w:t>
      </w:r>
    </w:p>
    <w:p>
      <w:r>
        <w:t xml:space="preserve">d) eine Schätzung der Zahl der in der Union ansässigen Personen, die in der Union ausgegebene Kryptowerte nutzen oder in diese investieren;</w:t>
      </w:r>
    </w:p>
    <w:p>
      <w:r>
        <w:t xml:space="preserve">e) wenn möglich eine Schätzung der Zahl der in der Union ansässigen Personen, die außerhalb der Union ausgegebene Kryptowerte nutzen oder in diese investieren, und eine Erklärung zur Verfügbarkeit von Daten hierzu;</w:t>
      </w:r>
    </w:p>
    <w:p>
      <w:r>
        <w:t xml:space="preserve">f) die Anzahl und den Wert der in der Union gemeldeten Fälle von größeren und kleineren Betrugsdelikten, Hacking, der Nutzung von Kryptowerten für Zahlungen im Zusammenhang mit Ransomware-Angriffen, Cyber-Angriffen, des Diebstahls, des Verlusts im Zusammenhang mit Kryptowerten, die Arten von betrügerischem Verhalten, die Anzahl von bei Anbietern von Kryptowerte-Dienstleistungen und Emittenten vermögenswertereferenzierter Token eingegangenen Beschwerden, die Anzahl von bei den zuständigen Behörden eingegangenen Beschwerden und den Gegenstand der eingegangenen Beschwerden;</w:t>
      </w:r>
    </w:p>
    <w:p>
      <w:r>
        <w:t xml:space="preserve">g) die Anzahl der zugelassenen Emittenten vermögenswertereferenzierter Token und eine Analyse der Arten des Reservevermögens, der Höhe der Vermögenswertreserve und des Volumens der Zahlungen mit vermögenswertereferenzierten Token;</w:t>
      </w:r>
    </w:p>
    <w:p>
      <w:r>
        <w:t xml:space="preserve">h) die Anzahl der zugelassenen Emittenten signifikanter vermögenswertereferenzierter Token und eine Analyse Arten des Reservevermögens, der Höhe der Vermögenswertreserve und des Volumens der mit signifikanten vermögenswertereferenzierten Token getätigten Zahlungen;</w:t>
      </w:r>
    </w:p>
    <w:p>
      <w:r>
        <w:t xml:space="preserve">i) die Anzahl der Emittenten von E-Geld-Token und eine Analyse der amtlichen Währungen, auf die sich die E-Geld-Token beziehen, der Zusammensetzung und Höhe der gemäß Artikel 54 hinterlegten und investierten Vermögenswertreserven und des Volumens der mit E-Geld-Token getätigten Zahlungen;</w:t>
      </w:r>
    </w:p>
    <w:p>
      <w:r>
        <w:t xml:space="preserve">j) die Anzahl der Emittenten signifikanter E-Geld-Token und eine Analyse der amtlichen Währungen, auf die sich die E-Geld-Token beziehen und für E-Geld-Institute, die signifikante E-Geld-Token ausgeben, eine Analyse der Arten von Reservevermögen, der Höhe der Vermögenswertreserven und des Volumens der mit signifikanten E-Geld-Token getätigten Zahlungen;</w:t>
      </w:r>
    </w:p>
    <w:p>
      <w:r>
        <w:t xml:space="preserve">k) die Anzahl der nach dieser Verordnung zugelassenen signifikanten Anbieter von Kryptowerte-Dienstleistungen;</w:t>
      </w:r>
    </w:p>
    <w:p>
      <w:r>
        <w:t xml:space="preserve">l) eine Bewertung des Funktionierens der Märkte für Kryptowerte in der Union, einschließlich Marktentwicklung und -trends, unter Berücksichtigung der Erfahrungen der Aufsichtsbehörden, der Anzahl der zugelassenen Anbieter von Kryptowerte-Dienstleistungen und ihres jeweiligen durchschnittlichen Marktanteils;</w:t>
      </w:r>
    </w:p>
    <w:p>
      <w:r>
        <w:t xml:space="preserve">m) eine Bewertung des Schutzniveaus, das den Inhabern von Kryptowerten und den Kunden von Anbietern von Kryptowerte-Dienstleistungen, insbesondere den Kleinanlegern, geboten wird;</w:t>
      </w:r>
    </w:p>
    <w:p>
      <w:r>
        <w:t xml:space="preserve">n) eine Bewertung von betrügerischen Marketingmitteilungen und kleineren Betrugsdelikten im Zusammenhang mit Kryptowerten über Netzwerke der sozialen Medien;</w:t>
      </w:r>
    </w:p>
    <w:p>
      <w:r>
        <w:t xml:space="preserve">o) eine Bewertung der Anforderungen, die für Emittenten von Kryptowerten und Anbieter von Kryptowerte-Dienstleistungen gelten, und ihrer Auswirkungen auf die Betriebsstabilität, die Marktintegrität, die Finanzstabilität und den Schutz der Kunden sowie der Inhaber von Kryptowerten;</w:t>
      </w:r>
    </w:p>
    <w:p>
      <w:r>
        <w:t xml:space="preserve">p) eine Bewertung der Anwendung des Artikels 81 und der Möglichkeit, in die Artikel 78, 79 und 80 Angemessenheitsprüfungen aufzunehmen, um Kunden von Anbietern von Kryptowerte-Dienstleistungen, insbesondere Kleinanleger, besser zu schützen;</w:t>
      </w:r>
    </w:p>
    <w:p>
      <w:r>
        <w:t xml:space="preserve">q) eine Bewertung, ob durch diese Verordnung eine angemessene Bandbreite von Kryptowerte-Dienstleistungen erfasst wird und ob eine Anpassung der in dieser Verordnung enthaltenen Begriffsbestimmungen erforderlich ist sowie ob zusätzliche innovative Formen von Kryptowerten in den Anwendungsbereich dieser Verordnung aufgenommen werden sollen;</w:t>
      </w:r>
    </w:p>
    <w:p>
      <w:r>
        <w:t xml:space="preserve">r) eine Bewertung, ob die Aufsichtsanforderungen für Anbieter von Kryptowerte-Dienstleistungen ausreichend sind und ob sie an die nach der Verordnung (EU) 2019/2033 des Europäischen Parlaments und des Rates ( 21 ) und der Richtlinie (EU) 2019/2034 des Europäischen Parlaments und des Rates ( 22 ) für Wertpapierfirmen geltenden Anforderungen in Bezug auf das Anfangskapital und die Eigenmittel angeglichen werden sollten;</w:t>
      </w:r>
    </w:p>
    <w:p>
      <w:r>
        <w:t xml:space="preserve">s) eine Bewertung der Angemessenheit der in Artikel 43 Absatz 1 Buchstaben a, b und c festgelegten Schwellenwerte zur Einstufung von vermögenswertereferenzierten Token oder E-Geld-Token und eine Bewertung, ob die Schwellenwerte regelmäßig überprüft werden sollten;</w:t>
      </w:r>
    </w:p>
    <w:p>
      <w:r>
        <w:t xml:space="preserve">t) eine Bewertung der Entwicklung des dezentralen Finanzsektors auf den Märkten für Kryptowerte und der angemessenen regulatorischen Behandlung dezentraler Krypto-Systeme;</w:t>
      </w:r>
    </w:p>
    <w:p>
      <w:r>
        <w:t xml:space="preserve">u) eine Bewertung der Angemessenheit der Schwellenwerte gemäß Artikel 85, ab denen Anbieter von Kryptowerte-Dienstleistungen als signifikant gelten, und eine Bewertung, ob die Schwellenwerte regelmäßig überprüft werden sollten;</w:t>
      </w:r>
    </w:p>
    <w:p>
      <w:r>
        <w:t xml:space="preserve">v) eine Bewertung, ob im Rahmen dieser Verordnung für Unternehmen, die Kryptowerte-Dienstleistungen erbringen, Emittenten vermögenswertereferenzierter Token oder Emittenten von E-Geld-Token aus Drittländern eine Gleichwertigkeitsregelung eingeführt werden sollte;</w:t>
      </w:r>
    </w:p>
    <w:p>
      <w:r>
        <w:t xml:space="preserve">w) eine Bewertung, ob die Freistellungen nach den Artikeln 4 und 16 angemessen sind;</w:t>
      </w:r>
    </w:p>
    <w:p>
      <w:r>
        <w:t xml:space="preserve">x) eine Bewertung der Auswirkungen dieser Verordnung auf das reibungslose Funktionieren des Binnenmarkts in Bezug auf Kryptowerte, einschließlich etwaiger Auswirkungen auf den Zugang von KMU zu Finanzmitteln und auf die Entwicklung neuer Zahlungsmittel, einschließlich Zahlungsinstrumenten;</w:t>
      </w:r>
    </w:p>
    <w:p>
      <w:r>
        <w:t xml:space="preserve">y) eine Beschreibung der Entwicklungen bei Geschäftsmodellen und Technologien auf den Märkten für Kryptowerte, wobei besonderes Augenmerk auf die Umweltauswirkungen neuer Technologien zu legen ist, sowie eine Bewertung der Strategieoptionen und erforderlichenfalls zusätzlicher Maßnahmen, die gerechtfertigt sein könnten, um die nachteiligen Auswirkungen auf das Klima und andere umweltbezogene Auswirkungen der auf den Märkten für Kryptowerte eingesetzten Technologien und insbesondere der Konsensmechanismen, die bei der Validierung von Transaktionen mit Kryptowerten zum Einsatz kommen, abzumildern;</w:t>
      </w:r>
    </w:p>
    <w:p>
      <w:r>
        <w:t xml:space="preserve">z) eine Bewertung, ob die in dieser Verordnung vorgesehenen Maßnahmen verändert werden müssen, um den Schutz der Kunden und der Inhaber von Kryptowerten, die Marktintegrität und die Finanzstabilität zu gewährleisten;</w:t>
      </w:r>
    </w:p>
    <w:p>
      <w:r>
        <w:t xml:space="preserve">aa) die Anwendung verwaltungsrechtlicher Sanktionen und anderer verwaltungsrechtlicher Maßnahmen;</w:t>
      </w:r>
    </w:p>
    <w:p>
      <w:r>
        <w:t xml:space="preserve">ab) eine Bewertung der Zusammenarbeit zwischen den zuständigen Behörden, der EBA, der ESMA, den Zentralbanken und sonstigen einschlägigen Behörden, auch im Hinblick auf das Zusammenspiel zwischen ihren Zuständigkeiten oder Aufgaben, sowie eine Bewertung der Vor- und Nachteile der Verantwortlichkeit der zuständigen Behörden der Mitgliedstaaten bzw. der EBA für die Beaufsichtigung im Rahmen dieser Verordnung;</w:t>
      </w:r>
    </w:p>
    <w:p>
      <w:r>
        <w:t xml:space="preserve">ac) eine Bewertung der Zusammenarbeit zwischen den zuständigen Behörden und der ESMA im Hinblick auf die Beaufsichtigung signifikanter Anbieter von Kryptowerte-Dienstleistungen sowie eine Bewertung der Vor- und Nachteile der Verantwortlichkeit der zuständigen Behörden der Mitgliedstaaten bzw. der ESMA für die Beaufsichtigung signifikanter Anbieter von Kryptowerte-Dienstleistungen im Rahmen dieser Verordnung;</w:t>
      </w:r>
    </w:p>
    <w:p>
      <w:r>
        <w:t xml:space="preserve">ad) die Befolgungskosten, die Emittenten von anderen Kryptowerten als vermögenswertereferenzierten Token und E-Geld-Token durch diese Verordnung prozentual zu dem durch die Ausgabe von Kryptowerten eingenommenen Betrag entstehen;</w:t>
      </w:r>
    </w:p>
    <w:p>
      <w:r>
        <w:t xml:space="preserve">ae) die Befolgungskosten, die Emittenten vermögenswertereferenzierter Token und Emittenten von E-Geld-Token durch diese Verordnung prozentual zu ihren Betriebskosten entstehen;</w:t>
      </w:r>
    </w:p>
    <w:p>
      <w:r>
        <w:t xml:space="preserve">af) die Befolgungskosten, die Anbietern von Kryptowerte-Dienstleistungen durch diese Verordnung prozentual zu ihren Betriebskosten entstehen;</w:t>
      </w:r>
    </w:p>
    <w:p>
      <w:r>
        <w:t xml:space="preserve">ag) Anzahl und Höhe der von den zuständigen Behörden und der EBA wegen Verstößen gegen diese Verordnung verhängten Verwaltungsgeldbußen und strafrechtlichen Sanktionen.</w:t>
      </w:r>
    </w:p>
    <w:p>
      <w:r>
        <w:t xml:space="preserve">(3) Gegebenenfalls werden in den in Absatz 1 des vorliegenden Artikels genannten Berichten auch die Themen weiterverfolgt, die in den in den Artikeln 141 bzw. 142 genannten Berichten behandelt werden.</w:t>
      </w:r>
    </w:p>
    <w:p>
      <w:r>
        <w:rPr>
          <w:color w:val="555555"/>
          <w:sz w:val="17"/>
        </w:rPr>
        <w:t xml:space="preserve">Zitiervorschlag: Art 140 MiCA</w:t>
      </w:r>
    </w:p>
    <w:p>
      <w:r>
        <w:rPr>
          <w:color w:val="555555"/>
          <w:sz w:val="17"/>
        </w:rPr>
        <w:t xml:space="preserve">Quelle: EUR-Lex, abgerufen 25.08.2026</w:t>
      </w:r>
    </w:p>
    <w:p>
      <w:r>
        <w:rPr>
          <w:color w:val="555555"/>
          <w:sz w:val="17"/>
        </w:rPr>
        <w:t xml:space="preserve">Nicht-amtliche konsolidierte Fassung — verbindlich ist der im Amtsblatt der Europäischen Union veröffentlichte Wortlaut (eur-lex.europa.eu: https://eur-lex.europa.eu)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https://recht.nulegal.eu/gesetze/MiCA/140</w:t>
      </w:r>
    </w:p>
    <w:p>
      <w:r>
        <w:rPr>
          <w:color w:val="767676"/>
          <w:sz w:val="15"/>
        </w:rPr>
        <w:t xml:space="preserve">nu:legal · recht.nulegal.eu · Nicht-amtliche Lesefassung. Amtliche Fassung: eur-lex.europa.eu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