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MiCA — Pflichten von Anbietern anderer Kryptowerte als vermögenswertereferenzierter Token oder E-Geld-Token und von Personen, die die Zulassung solcher Kryptowerte zum Handel beantragen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Anbieter von anderen Kryptowerten als vermögenswertereferenzierten Token oder E-Geld-Token und Personen, die die Zulassung solcher Kryptowerte zum Handel beantragen, müssen</w:t>
      </w:r>
    </w:p>
    <w:p>
      <w:r>
        <w:t xml:space="preserve">a) ehrlich, redlich und professionell handeln,</w:t>
      </w:r>
    </w:p>
    <w:p>
      <w:r>
        <w:t xml:space="preserve">b) mit den Inhabern und potenziellen Inhabern von Kryptowerten auf redliche, eindeutige und nicht irreführende Weise kommunizieren,</w:t>
      </w:r>
    </w:p>
    <w:p>
      <w:r>
        <w:t xml:space="preserve">c) mögliche Interessenkonflikte ermitteln, vermeiden, handhaben und offenlegen,</w:t>
      </w:r>
    </w:p>
    <w:p>
      <w:r>
        <w:t xml:space="preserve">d) ihre Systeme und Protokolle zur Gewährleistung der Zugriffssicherheit entsprechend den einschlägigen Standards der Union pflegen.</w:t>
      </w:r>
    </w:p>
    <w:p>
      <w:r>
        <w:t xml:space="preserve">Für die Zwecke von Unterabsatz 1 Buchstabe d gibt die ESMA in Zusammenarbeit mit der EBA bis zum 30. Dezember 2024 Leitlinien gemäß Artikel 16 der Verordnung (EU) Nr. 1095/2010 heraus, in denen diese Standards der Union spezifiziert werden.</w:t>
      </w:r>
    </w:p>
    <w:p>
      <w:r>
        <w:t xml:space="preserve">(2) Anbieter von anderen Kryptowerten als vermögenswertereferenzierten Token oder E-Geld-Token und Personen, die die Zulassung solcher Kryptowerte zum Handel beantragen, handeln im besten Interesse der Inhaber solcher Kryptowerte und behandeln sie gleich, es sei denn, im Kryptowerte-Whitepaper und in den etwaigen Marketingmitteilungen sind eine Vorzugsbehandlung bestimmter Inhaber und die Gründe für diese Vorzugsbehandlung ausgewiesen.</w:t>
      </w:r>
    </w:p>
    <w:p>
      <w:r>
        <w:t xml:space="preserve">(3) Wird ein öffentliches Angebot eines anderen Kryptowerts als eines vermögenswertereferenzierten Token oder eines E-Geld-Token annulliert, so stellen die Anbieter solcher Kryptowerte sicher, dass alle von Inhabern oder potenziellen Inhabern gesammelten Geldbeträge diesen spätestens 25 Kalendertage nach dem Tag der Annullierung ordnungsgemäß zurückerstattet werden.</w:t>
      </w:r>
    </w:p>
    <w:p>
      <w:r>
        <w:rPr>
          <w:color w:val="555555"/>
          <w:sz w:val="17"/>
        </w:rPr>
        <w:t xml:space="preserve">Zitiervorschlag: Art 14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