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137 MiCA — Aufsichtsgebühren</w:t>
      </w:r>
    </w:p>
    <w:p>
      <w:r>
        <w:rPr>
          <w:color w:val="555555"/>
          <w:sz w:val="18"/>
        </w:rPr>
        <w:t xml:space="preserve">MiCA</w:t>
      </w:r>
    </w:p>
    <w:p>
      <w:r>
        <w:rPr>
          <w:color w:val="555555"/>
          <w:sz w:val="18"/>
        </w:rPr>
        <w:t xml:space="preserve">Stand: 22.07.2026 (konsolidierte Textfassung, kein amtliches Inkrafttretensdatum)</w:t>
      </w:r>
    </w:p>
    <w:p>
      <w:r>
        <w:t xml:space="preserve">(1) Die EBA stellt Emittenten signifikanter vermögenswertereferenzierter Token und Emittenten signifikanter E-Geld-Token Gebühren in Rechnung. Diese Gebühren decken die Aufwendungen der EBA im Zusammenhang mit Beaufsichtigungsaufgaben in Bezug auf Emittenten signifikanter vermögenswertereferenzierter Token und Emittenten signifikanter E-Geld-Token nach Artikeln 117 und 119 sowie die Erstattung der Kosten, die den zuständigen Behörden bei der Durchführung von Tätigkeiten im Rahmen dieser Verordnung, insbesondere infolge einer Übertragung von Aufgaben nach Artikel 138, entstehen könnten.</w:t>
      </w:r>
    </w:p>
    <w:p>
      <w:r>
        <w:t xml:space="preserve">(2) Die Gebühr, die einem einzelnen Emittenten eines signifikanten vermögenswertereferenzierten Token in Rechnung gestellt wird, steht im Verhältnis zur Größe seines Reservevermögens und deckt alle Kosten, die der EBA durch die Wahrnehmung ihrer Aufsichtsaufgaben im Rahmen dieser Verordnung entstehen.</w:t>
      </w:r>
    </w:p>
    <w:p>
      <w:r>
        <w:t xml:space="preserve">Die Gebühr, die einem einzelnen Emittenten eines signifikanten E-Geld-Token in Rechnung gestellt wird, steht im Verhältnis zum Umfang des im Tausch gegen einen Geldbetrag ausgegebenen E-Geld-Token und deckt alle Kosten, die der EBA durch die Wahrnehmung ihrer Aufsichtsaufgaben im Rahmen dieser Verordnung entstehen, einschließlich der Erstattung von Kosten, die bei der Wahrnehmung dieser Aufgaben anfallen.</w:t>
      </w:r>
    </w:p>
    <w:p>
      <w:r>
        <w:t xml:space="preserve">(3) Die Kommission erlässt bis zum 30. Juni 2024 einen delegierten Rechtsakt nach Artikel 139 zur Ergänzung dieser Verordnung durch die Präzisierung der Gebührenarten, der Gebührenanlässe, der Gebührenhöhe und Zahlungsweise sowie der Methode zur Berechnung des in Absatz 2 dieses Artikels genannten Höchstbetrags, den die EBA einem einzelnen Rechtsträger in Rechnung stellen kann.</w:t>
      </w:r>
    </w:p>
    <w:p>
      <w:r>
        <w:rPr>
          <w:color w:val="555555"/>
          <w:sz w:val="17"/>
        </w:rPr>
        <w:t xml:space="preserve">Zitiervorschlag: Art 137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https://recht.nulegal.eu/gesetze/MiCA/137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