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131 MiCA — Geldbußen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EBA erlässt einen Beschluss zur Verhängung einer Geldbuße gemäß Absatz 3 oder Absatz 4 des vorliegenden Artikels, wenn sie gemäß Artikel 134 Absatz 8 feststellt, dass</w:t>
      </w:r>
    </w:p>
    <w:p>
      <w:r>
        <w:t xml:space="preserve">a) ein Emittent eines signifikanten vermögenswertereferenzierten Token oder ein Mitglied seines Leitungsorgans vorsätzlich oder fahrlässig einen der in Anhang V aufgeführten Verstöße begangen hat;</w:t>
      </w:r>
    </w:p>
    <w:p>
      <w:r>
        <w:t xml:space="preserve">b) ein Emittent eines signifikanten E-Geld-Token oder ein Mitglied seines Leitungsorgans vorsätzlich oder fahrlässig einen der in Anhang VI aufgeführten Verstöße begangen hat; Ein Verstoß gilt als vorsätzlich begangen, wenn die EBA anhand objektiver Faktoren nachweisen kann, dass ein Emittent oder ein Mitglied seines Leitungsorgans den Verstoß absichtlich begangen hat.</w:t>
      </w:r>
    </w:p>
    <w:p>
      <w:r>
        <w:t xml:space="preserve">(2) Erlässt die EBA einen Beschluss gemäß Absatz 1, so berücksichtigt sie die Art und die Schwere des Verstoßes anhand der folgenden Kriterien:</w:t>
      </w:r>
    </w:p>
    <w:p>
      <w:r>
        <w:t xml:space="preserve">a) Dauer und Häufigkeit des Verstoßes;</w:t>
      </w:r>
    </w:p>
    <w:p>
      <w:r>
        <w:t xml:space="preserve">b) ob Finanzkriminalität verursacht oder erleichtert wurde oder anderweitig mit dem Verstoß in Verbindung steht;</w:t>
      </w:r>
    </w:p>
    <w:p>
      <w:r>
        <w:t xml:space="preserve">c) ob der Verstoß schwerwiegende oder systemische Schwächen in den Verfahren, Strategien und Risikomanagementverfahren des Emittenten des signifikanten vermögenswertereferenzierten Token oder des Emittenten des signifikanten E-Geld-Token aufgedeckt hat;</w:t>
      </w:r>
    </w:p>
    <w:p>
      <w:r>
        <w:t xml:space="preserve">d) ob der Verstoß vorsätzlich oder fahrlässig begangen wurde;</w:t>
      </w:r>
    </w:p>
    <w:p>
      <w:r>
        <w:t xml:space="preserve">e) Grad an Verantwortung des für den Verstoß des verantwortlichen Emittenten des signifikanten vermögenswertereferenzierten Token oder des Emittenten des signifikanten E-Geld-Token;</w:t>
      </w:r>
    </w:p>
    <w:p>
      <w:r>
        <w:t xml:space="preserve">f) Finanzkraft des für den Verstoß verantwortlichen Emittenten des signifikanten vermögenswertereferenzierten Token oder Emittenten des signifikanten E-Geld-Token, wie sie sich aus dem Gesamtumsatz der verantwortlichen juristischen Person oder den Jahreseinkünften und dem Nettovermögen der verantwortlichen natürlichen Person ablesen lässt;</w:t>
      </w:r>
    </w:p>
    <w:p>
      <w:r>
        <w:t xml:space="preserve">g) Auswirkungen des Verstoßes auf die Interessen der Inhaber der signifikanten vermögenswertereferenzierten Token oder der signifikanten E-Geld-Token;</w:t>
      </w:r>
    </w:p>
    <w:p>
      <w:r>
        <w:t xml:space="preserve">h) Höhe der durch den Verstoß von dem für den Verstoß verantwortlichen Emittenten des signifikanten vermögenswertereferenzierten Token oder des signifikanten E-Geld-Token erzielten Gewinne bzw. vermiedenen Verluste oder Höhe der Dritten entstandenen Verluste, soweit diese sich beziffern lassen;</w:t>
      </w:r>
    </w:p>
    <w:p>
      <w:r>
        <w:t xml:space="preserve">i) Ausmaß der Zusammenarbeit des für den Verstoß verantwortlichen Emittenten des signifikanten vermögenswertereferenzierten Token oder des signifikanten E-Geld-Token mit der EBA, unbeschadet der Notwendigkeit, den Einzug der von dieser Person erzielten Gewinne oder vermiedenen Verluste sicherzustellen;</w:t>
      </w:r>
    </w:p>
    <w:p>
      <w:r>
        <w:t xml:space="preserve">j) frühere Verstöße des für den Verstoß verantwortlichen Emittenten des signifikanten vermögenswertereferenzierten Token oder Emittenten des signifikanten E-Geld-Token;</w:t>
      </w:r>
    </w:p>
    <w:p>
      <w:r>
        <w:t xml:space="preserve">k) Maßnahmen, die der Emittent des signifikanten vermögenswertereferenzierten Token oder der Emittent des signifikanten E-Geld-Token nach dem Verstoß ergriffen hat, um eine Wiederholung zu verhindern.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131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