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130 MiCA — Aufsichtsmaßnahmen der EBA</w:t>
      </w:r>
    </w:p>
    <w:p>
      <w:r>
        <w:rPr>
          <w:color w:val="555555"/>
          <w:sz w:val="18"/>
        </w:rPr>
        <w:t xml:space="preserve">MiCA</w:t>
      </w:r>
    </w:p>
    <w:p>
      <w:r>
        <w:rPr>
          <w:color w:val="555555"/>
          <w:sz w:val="18"/>
        </w:rPr>
        <w:t xml:space="preserve">Stand: 22.07.2026 (konsolidierte Textfassung, kein amtliches Inkrafttretensdatum)</w:t>
      </w:r>
    </w:p>
    <w:p>
      <w:r>
        <w:t xml:space="preserve">(1) Stellt die EBA fest, dass ein Emittent eines signifikanten vermögenswertereferenzierten Token einen in Anhang V aufgeführten Verstoß begangen hat, kann sie eine oder mehrere der folgenden Maßnahmen ergreifen:</w:t>
      </w:r>
    </w:p>
    <w:p>
      <w:r>
        <w:t xml:space="preserve">a) Erlass eines Beschlusses, mit dem der Emittent des signifikanten vermögenswertereferenzierten Token aufgefordert wird, das den Verstoß darstellende Verhalten einzustellen;</w:t>
      </w:r>
    </w:p>
    <w:p>
      <w:r>
        <w:t xml:space="preserve">b) Erlass eines Beschlusses über die Verhängung von Geldbußen oder Zwangsgeldern gemäß den Artikeln 131 und 132;</w:t>
      </w:r>
    </w:p>
    <w:p>
      <w:r>
        <w:t xml:space="preserve">c) Erlass eines Beschlusses, mit dem der Emittent des signifikanten vermögenswertereferenzierten Token aufgefordert wird, zusätzliche Informationen zu übermitteln, wenn dies für den Schutz der Inhaber des vermögenswertereferenzierten Token, insbesondere der Kleinanleger, erforderlich ist;</w:t>
      </w:r>
    </w:p>
    <w:p>
      <w:r>
        <w:t xml:space="preserve">d) Erlass eines Beschlusses, mit dem der Emittent des signifikanten vermögenswertereferenzierten Token aufgefordert wird, ein öffentliches Angebot von Kryptowerten für jeweils höchstens 30 aufeinanderfolgende Arbeitstage auszusetzen, wenn sie einen hinreichend begründeten Verdacht hat, dass gegen diese Verordnung verstoßen wurde;</w:t>
      </w:r>
    </w:p>
    <w:p>
      <w:r>
        <w:t xml:space="preserve">e) Erlass eines Beschlusses, mit dem ein öffentliches Angebot eines signifikanten vermögenswertereferenzierten Token untersagt wird, wenn sie feststellt, dass gegen diese Verordnung verstoßen wurde, oder sie einen hinreichend begründeten Verdacht hat, dass gegen sie verstoßen werden wird;</w:t>
      </w:r>
    </w:p>
    <w:p>
      <w:r>
        <w:t xml:space="preserve">f) Erlass eines Beschlusses, mit dem der Anbieter von Kryptowerte-Dienstleistungen, der eine Handelsplattform für Kryptowerte betreibt, die den signifikanten vermögenswertereferenzierten Token zum Handel zugelassen hat, aufgefordert wird, den Handel mit diesen Kryptowerten für jeweils höchstens 30 aufeinanderfolgende Arbeitstage auszusetzen, wenn sie einen hinreichend begründeten Verdacht hat, dass gegen diese Verordnung verstoßen wurde;</w:t>
      </w:r>
    </w:p>
    <w:p>
      <w:r>
        <w:t xml:space="preserve">g) Erlass eines Beschlusses, mit dem der Handel mit dem signifikanten vermögenswertereferenzierten Token auf einer Handelsplattform für Kryptowerte untersagt wird, wenn sie feststellt, dass gegen diese Verordnung verstoßen wurde;</w:t>
      </w:r>
    </w:p>
    <w:p>
      <w:r>
        <w:t xml:space="preserve">h) Erlass eines Beschlusses, mit dem der Emittent des signifikanten vermögenswertereferenzierten Token aufgefordert wird, seine Marketingmitteilungen zu ändern, wenn sie feststellt, dass die Marketingmitteilungen nicht mit Artikel 29 im Einklang stehen;</w:t>
      </w:r>
    </w:p>
    <w:p>
      <w:r>
        <w:t xml:space="preserve">i) Erlass eines Beschlusses über die Aussetzung oder das Verbot von Marketingmitteilungen, wenn ein hinreichend begründeter Verdacht besteht, dass gegen diese Verordnung verstoßen wurde;</w:t>
      </w:r>
    </w:p>
    <w:p>
      <w:r>
        <w:t xml:space="preserve">j) Erlass eines Beschlusses, mit dem der Emittent des signifikanten vermögenswertereferenzierten Token aufgefordert wird, zur Gewährleistung des Verbraucherschutzes oder des reibungslosen Funktionierens des Marktes alle wesentlichen Informationen, die die Bewertung des öffentlich angebotenen oder zum Handel zugelassenen signifikanten vermögenswertereferenzierten Token beeinflussen könnten, offenzulegen;</w:t>
      </w:r>
    </w:p>
    <w:p>
      <w:r>
        <w:t xml:space="preserve">k) Abgabe von Warnungen, dass ein Emittent eines signifikanten vermögenswertereferenzierten Token seinen Verpflichtungen gemäß dieser Verordnung nicht nachkommt;</w:t>
      </w:r>
    </w:p>
    <w:p>
      <w:r>
        <w:t xml:space="preserve">l) Entzug der Zulassung des Emittenten eines signifikanten vermögenswertereferenzierten Token;</w:t>
      </w:r>
    </w:p>
    <w:p>
      <w:r>
        <w:t xml:space="preserve">m) Erlass eines Beschlusses über die Abberufung einer natürlichen Person aus dem Leitungsorgan eines Emittenten eines signifikanten vermögenswertereferenzierten Token;</w:t>
      </w:r>
    </w:p>
    <w:p>
      <w:r>
        <w:t xml:space="preserve">n) Aufforderung des unter ihrer Aufsicht stehenden Emittenten des signifikanten vermögenswertereferenzierten Token, gemäß Artikel 23 Absatz 4 und Artikel 24 Absatz 3 eine Mindeststückelung im Hinblick auf diesen signifikanten vermögenswertereferenzierten Token einzuführen oder die Menge der ausgegebenen signifikanten vermögenswertereferenzierten Token einzuschränken.</w:t>
      </w:r>
    </w:p>
    <w:p>
      <w:r>
        <w:t xml:space="preserve">(2) Stellt die EBA fest, dass ein Emittent eines signifikanten E-Geld-Token einen in Anhang VI aufgeführten Verstoß begangen hat, kann sie eine oder mehrere der folgenden Maßnahmen ergreifen:</w:t>
      </w:r>
    </w:p>
    <w:p>
      <w:r>
        <w:t xml:space="preserve">a) Erlass eines Beschlusses, mit dem der Emittent des signifikanten E-Geld-Token aufgefordert wird, das den Verstoß darstellende Verhalten einzustellen;</w:t>
      </w:r>
    </w:p>
    <w:p>
      <w:r>
        <w:t xml:space="preserve">b) Erlass eines Beschlusses über die Verhängung von Geldbußen oder Zwangsgeldern gemäß den Artikeln 131 und 132;</w:t>
      </w:r>
    </w:p>
    <w:p>
      <w:r>
        <w:t xml:space="preserve">c) Erlass eines Beschlusses, mit dem der Emittent des signifikanten E-Geld-Token aufgefordert wird, zusätzliche Informationen zu übermitteln, wenn dies für den Schutz der Inhaber des signifikanten E-Geld-Token, insbesondere der Kleinanleger, erforderlich ist;</w:t>
      </w:r>
    </w:p>
    <w:p>
      <w:r>
        <w:t xml:space="preserve">d) Erlass eines Beschlusses, mit dem der Emittent des signifikanten E-Geld-Token aufgefordert wird, ein öffentliches Angebot von Kryptowerten für jeweils höchstens 30 aufeinanderfolgende Arbeitstage auszusetzen, wenn sie einen hinreichend begründeten Verdacht hat, dass gegen diese Verordnung verstoßen wurde;</w:t>
      </w:r>
    </w:p>
    <w:p>
      <w:r>
        <w:t xml:space="preserve">e) Erlass eines Beschlusses, mit dem ein öffentliches Angebot signifikanter E-Geld-Token untersagt wird, wenn sie feststellt, dass gegen diese Verordnung verstoßen wurde, oder sie einen hinreichend begründeten Verdacht hat, dass gegen sie verstoßen würde;</w:t>
      </w:r>
    </w:p>
    <w:p>
      <w:r>
        <w:t xml:space="preserve">f) Erlass eines Beschlusses, mit dem der jeweilige Anbieter von Kryptowerte-Dienstleistungen, der eine Handelsplattform für Kryptowerte betreibt, die die signifikanten E-Geld-Token zum Handel zugelassen hat, aufgefordert wird, den Handel mit diesen Kryptowerten für jeweils höchstens 30 aufeinanderfolgende Arbeitstage auszusetzen, wenn sie einen hinreichend begründeten Verdacht hat, dass gegen diese Verordnung verstoßen wurde;</w:t>
      </w:r>
    </w:p>
    <w:p>
      <w:r>
        <w:t xml:space="preserve">g) Erlass eines Beschlusses, mit dem der Handel mit dem signifikanten E-Geld-Token auf einer Handelsplattform für Kryptowerte untersagt wird, wenn sie feststellt, dass gegen diese Verordnung verstoßen wurde;</w:t>
      </w:r>
    </w:p>
    <w:p>
      <w:r>
        <w:t xml:space="preserve">h) Erlass eines Beschlusses, mit dem der Emittent des signifikanten E-Geld-Token aufgefordert wird, zur Gewährleistung des Verbraucherschutzes oder des reibungslosen Funktionierens des Marktes alle wesentlichen Informationen, die die Bewertung der öffentlich angebotenen oder zum Handel zugelassenen signifikanten E-Geld-Token beeinflussen könnten, offenzulegen;</w:t>
      </w:r>
    </w:p>
    <w:p>
      <w:r>
        <w:t xml:space="preserve">i) Abgabe von Warnungen, dass der Emittent des signifikanten E-Geld-Token seinen Verpflichtungen gemäß dieser Verordnung nicht nachkommt;</w:t>
      </w:r>
    </w:p>
    <w:p>
      <w:r>
        <w:t xml:space="preserve">j) Aufforderung des unter ihrer Aufsicht stehenden Emittenten des signifikanten E-Geld-Token, in Anwendung von Artikel 58 Absatz 3 eine Mindeststückelung im Hinblick auf diesen signifikanten E-Geld-Token einzuführen oder die Menge der ausgegebenen signifikanten E-Geld-Token einzuschränken.</w:t>
      </w:r>
    </w:p>
    <w:p>
      <w:r>
        <w:t xml:space="preserve">(3) Wenn sie die in den Absätzen 1 und 2 genannten Maßnahmen ergreift, berücksichtigt die EBA Art und Schwere des Verstoßes anhand der folgenden Kriterien:</w:t>
      </w:r>
    </w:p>
    <w:p>
      <w:r>
        <w:t xml:space="preserve">a) Dauer und Häufigkeit des Verstoßes;</w:t>
      </w:r>
    </w:p>
    <w:p>
      <w:r>
        <w:t xml:space="preserve">b) ob Finanzkriminalität verursacht oder erleichtert wurde oder anderweitig mit dem Verstoß in Verbindung steht;</w:t>
      </w:r>
    </w:p>
    <w:p>
      <w:r>
        <w:t xml:space="preserve">c) ob der Verstoß schwerwiegende oder systemische Schwächen in den Verfahren, Strategien und Risikomanagementverfahren des Emittenten des signifikanten vermögenswertereferenzierten Token oder des Emittenten signifikanter E-Geld-Token aufgedeckt hat;</w:t>
      </w:r>
    </w:p>
    <w:p>
      <w:r>
        <w:t xml:space="preserve">d) ob der Verstoß vorsätzlich oder fahrlässig begangen wurde;</w:t>
      </w:r>
    </w:p>
    <w:p>
      <w:r>
        <w:t xml:space="preserve">e) Grad an Verantwortung des für den Verstoß verantwortlichen Emittenten des signifikanten vermögenswertereferenzierten Token oder Emittenten des signifikanten E-Geld-Token;</w:t>
      </w:r>
    </w:p>
    <w:p>
      <w:r>
        <w:t xml:space="preserve">f) Finanzkraft des für den Verstoß verantwortlichen Emittenten des signifikanten vermögenswertereferenzierten Token oder Emittenten des signifikanten E-Geld-Token, wie sie sich aus dem Gesamtumsatz der verantwortlichen juristischen Person oder den Jahreseinkünften und dem Nettovermögen der verantwortlichen natürlichen Person ablesen lässt;</w:t>
      </w:r>
    </w:p>
    <w:p>
      <w:r>
        <w:t xml:space="preserve">g) Auswirkungen des Verstoßes auf die Interessen der Inhaber der signifikanten vermögenswertereferenzierten Token oder der signifikanten E-Geld-Token;</w:t>
      </w:r>
    </w:p>
    <w:p>
      <w:r>
        <w:t xml:space="preserve">h) Höhe der durch den Verstoß von dem für den Verstoß verantwortlichen Emittenten des signifikanten vermögenswertereferenzierten Token oder des signifikanten E-Geld-Token erzielten Gewinne bzw. vermiedenen Verluste oder Höhe der Dritten entstandenen Verluste, soweit diese sich beziffern lassen;</w:t>
      </w:r>
    </w:p>
    <w:p>
      <w:r>
        <w:t xml:space="preserve">i) Ausmaß der Zusammenarbeit des für den Verstoß verantwortlichen Emittenten des signifikanten vermögenswertereferenzierten Token oder des Emittenten des signifikanten E-Geld-Token mit der EBA, unbeschadet der Notwendigkeit, den Einzug der von dieser Person erzielten Gewinne oder vermiedenen Verluste sicherzustellen;</w:t>
      </w:r>
    </w:p>
    <w:p>
      <w:r>
        <w:t xml:space="preserve">j) frühere Verstöße des für den Verstoß verantwortlichen Emittenten des signifikanten vermögenswertereferenzierten Token oder Emittenten des signifikanten E-Geld-Token;</w:t>
      </w:r>
    </w:p>
    <w:p>
      <w:r>
        <w:t xml:space="preserve">k) Maßnahmen, die der Emittent des signifikanten vermögenswertereferenzierten Token oder der Emittent des signifikanten E-Geld-Token nach dem Verstoß ergriffen hat, um eine Wiederholung zu verhindern.</w:t>
      </w:r>
    </w:p>
    <w:p>
      <w:r>
        <w:t xml:space="preserve">(4) Bevor sie eine der in Absatz 1 Buchstaben d bis g und Buchstabe j genannten Maßnahmen ergreift, unterrichtet die EBA die ESMA und, wenn die signifikanten vermögenswertereferenzierten Token auf den Euro oder eine amtliche Währung eines Mitgliedstaats, die nicht der Euro ist, Bezug nehmen, die EZB bzw. die Zentralbank des betroffenen Mitgliedstaats, die die betreffende Währung ausgibt.</w:t>
      </w:r>
    </w:p>
    <w:p>
      <w:r>
        <w:t xml:space="preserve">(5) Bevor sie eine der in Absatz 2 genannten Maßnahmen ergreift, unterrichtet die EBA die für den Emittenten des signifikanten E-Geld-Token zuständige Behörde und die Zentralbank des Mitgliedstaats, auf dessen amtliche Währung der signifikante E-Geld-Token Bezug nimmt.</w:t>
      </w:r>
    </w:p>
    <w:p>
      <w:r>
        <w:t xml:space="preserve">(6) Die EBA teilt dem für den Verstoß verantwortlichen Emittenten des signifikanten vermögenswertereferenzierten Token oder Emittenten des signifikanten E-Geld-Token unverzüglich jede gemäß Absatz 1 oder 2 ergriffene Maßnahme mit und setzt die betroffenen zuständigen Behörden sowie die Kommission unverzüglich von dieser Maßnahme in Kenntnis. Die EBA veröffentlicht jeden derartigen Beschluss innerhalb von zehn Arbeitstagen ab dem Tag der Annahme des Beschlusses auf ihrer Website, sofern dies die Stabilität der Finanzmärkte nicht ernsthaft gefährdet und den Beteiligten daraus kein unverhältnismäßiger Schaden erwächst. Diese Veröffentlichung darf keine personenbezogenen Daten enthalten.</w:t>
      </w:r>
    </w:p>
    <w:p>
      <w:r>
        <w:t xml:space="preserve">(7) Die in Absatz 6 genannte Veröffentlichung umfasst die folgenden Hinweise:</w:t>
      </w:r>
    </w:p>
    <w:p>
      <w:r>
        <w:t xml:space="preserve">a) Den Hinweis, dass die für den Verstoß verantwortliche Person das Recht hat, beim Gerichtshof Beschwerde gegen den Beschluss einzulegen;</w:t>
      </w:r>
    </w:p>
    <w:p>
      <w:r>
        <w:t xml:space="preserve">b) gegebenenfalls den Hinweis, dass Beschwerde eingelegt wurde, diese jedoch keine aufschiebende Wirkung hat;</w:t>
      </w:r>
    </w:p>
    <w:p>
      <w:r>
        <w:t xml:space="preserve">c) den Hinweis, dass der Beschwerdeausschuss der EBA die Möglichkeit hat, die Anwendung eines angefochtenen Beschlusses nach Artikel 60 Absatz 3 der Verordnung (EU) Nr. 1093/2010 auszusetzen.</w:t>
      </w:r>
    </w:p>
    <w:p>
      <w:r>
        <w:rPr>
          <w:color w:val="555555"/>
          <w:sz w:val="17"/>
        </w:rPr>
        <w:t xml:space="preserve">Zitiervorschlag: Art 130 MiCA</w:t>
      </w:r>
    </w:p>
    <w:p>
      <w:r>
        <w:rPr>
          <w:color w:val="555555"/>
          <w:sz w:val="17"/>
        </w:rPr>
        <w:t xml:space="preserve">Quelle: EUR-Lex, abgerufen 25.08.2026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https://recht.nulegal.eu/gesetze/MiCA/130</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