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129 MiCA — Wahrung des Berufsgeheimnisses</w:t>
      </w:r>
    </w:p>
    <w:p>
      <w:r>
        <w:rPr>
          <w:color w:val="555555"/>
          <w:sz w:val="18"/>
        </w:rPr>
        <w:t xml:space="preserve">MiCA</w:t>
      </w:r>
    </w:p>
    <w:p>
      <w:r>
        <w:rPr>
          <w:color w:val="555555"/>
          <w:sz w:val="18"/>
        </w:rPr>
        <w:t xml:space="preserve">Stand: 22.07.2026 (konsolidierte Textfassung, kein amtliches Inkrafttretensdatum)</w:t>
      </w:r>
    </w:p>
    <w:p>
      <w:r>
        <w:t xml:space="preserve">Die EBA und alle Personen, die bei der EBA oder einer sonstigen Person, der die EBA Aufgaben übertragen hat, tätig sind oder tätig waren, einschließlich der von der EBA beauftragten Prüfer und Sachverständigen, sind zur Wahrung des Berufsgeheimnisses verpflichtet.</w:t>
      </w:r>
    </w:p>
    <w:p>
      <w:r>
        <w:rPr>
          <w:color w:val="555555"/>
          <w:sz w:val="17"/>
        </w:rPr>
        <w:t xml:space="preserve">Zitiervorschlag: Art 129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