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126 MiCA — Verwaltungsvereinbarungen über den Informationsaustausch zwischen der EBA und Drittländern</w:t>
      </w:r>
    </w:p>
    <w:p>
      <w:r>
        <w:rPr>
          <w:color w:val="555555"/>
          <w:sz w:val="18"/>
        </w:rPr>
        <w:t xml:space="preserve">MiCA</w:t>
      </w:r>
    </w:p>
    <w:p>
      <w:r>
        <w:rPr>
          <w:color w:val="555555"/>
          <w:sz w:val="18"/>
        </w:rPr>
        <w:t xml:space="preserve">Stand: 22.07.2026 (konsolidierte Textfassung, kein amtliches Inkrafttretensdatum)</w:t>
      </w:r>
    </w:p>
    <w:p>
      <w:r>
        <w:t xml:space="preserve">(1) Zur Wahrnehmung ihrer Aufsichtsaufgaben gemäß Artikel 117 darf die EBA Verwaltungsvereinbarungen über den Informationsaustausch mit den Aufsichtsbehörden von Drittländern nur schließen, wenn die Garantien zum Schutz des Berufsgeheimnisses in Bezug auf die offengelegten Informationen jenen nach Artikel 129 mindestens gleichwertig sind.</w:t>
      </w:r>
    </w:p>
    <w:p>
      <w:r>
        <w:t xml:space="preserve">(2) Der Informationsaustausch dient der Wahrnehmung der Aufgaben der EBA oder der in Absatz 1 genannten Aufsichtsbehörden.</w:t>
      </w:r>
    </w:p>
    <w:p>
      <w:r>
        <w:t xml:space="preserve">(3) Bei der Übermittlung personenbezogener Daten an ein Drittland wendet die EBA die Verordnung (EU) 2018/1725 an.</w:t>
      </w:r>
    </w:p>
    <w:p>
      <w:r>
        <w:rPr>
          <w:color w:val="555555"/>
          <w:sz w:val="17"/>
        </w:rPr>
        <w:t xml:space="preserve">Zitiervorschlag: Art 126 MiCA</w:t>
      </w:r>
    </w:p>
    <w:p>
      <w:r>
        <w:rPr>
          <w:color w:val="555555"/>
          <w:sz w:val="17"/>
        </w:rPr>
        <w:t xml:space="preserve">Quelle: EUR-Lex, abgerufen 25.08.2026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https://recht.nulegal.eu/gesetze/MiCA/126</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