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122 MiCA — Informationsersuchen</w:t>
      </w:r>
    </w:p>
    <w:p>
      <w:r>
        <w:rPr>
          <w:color w:val="555555"/>
          <w:sz w:val="18"/>
        </w:rPr>
        <w:t xml:space="preserve">MiCA</w:t>
      </w:r>
    </w:p>
    <w:p>
      <w:r>
        <w:rPr>
          <w:color w:val="555555"/>
          <w:sz w:val="18"/>
        </w:rPr>
        <w:t xml:space="preserve">Stand: 22.07.2026 (konsolidierte Textfassung, kein amtliches Inkrafttretensdatum)</w:t>
      </w:r>
    </w:p>
    <w:p>
      <w:r>
        <w:t xml:space="preserve">(1) Zur Wahrnehmung ihrer Aufsichtsaufgaben nach Artikel 117 kann die EBA durch einfaches Ersuchen oder im Wege eines Beschlusses von folgenden Personen die Vorlage sämtlicher Informationen verlangen, die sie für die Wahrnehmung ihrer Aufgaben im Rahmen dieser Verordnung benötigt:</w:t>
      </w:r>
    </w:p>
    <w:p>
      <w:r>
        <w:t xml:space="preserve">a) von einem Emittenten eines signifikanten vermögenswertereferenzierten Token oder einer Person, die einen Emittenten eines signifikanten vermögenswertereferenzierten Token kontrolliert oder direkt oder indirekt von einem Emittenten eines signifikanten vermögenswertereferenzierten Token kontrolliert wird;</w:t>
      </w:r>
    </w:p>
    <w:p>
      <w:r>
        <w:t xml:space="preserve">b) von einem Drittunternehmen im Sinne von Artikel 34 Absatz 5 Unterabsatz 1 Buchstabe h, mit denen der Emittent eines signifikanten vermögenswertereferenzierten Token eine vertragliche Vereinbarung geschlossen hat;</w:t>
      </w:r>
    </w:p>
    <w:p>
      <w:r>
        <w:t xml:space="preserve">c) von Anbietern von Kryptowerte-Dienstleistungen, Kreditinstituten oder Wertpapierfirmen, die die Verwahrung des Reservevermögens gemäß Artikel 37 sicherstellen;</w:t>
      </w:r>
    </w:p>
    <w:p>
      <w:r>
        <w:t xml:space="preserve">d) von einem Emittenten eines signifikanten E-Geld-Token oder einer Person, die einen Emittenten eines signifikanten E-Geld-Token kontrolliert oder direkt oder indirekt von einem Emittenten eines signifikanten E-Geld-Token kontrolliert wird;</w:t>
      </w:r>
    </w:p>
    <w:p>
      <w:r>
        <w:t xml:space="preserve">e) von einem Zahlungsdienstleister, der Zahlungsdienste im Zusammenhang mit signifikanten E-Geld-Token erbringt;</w:t>
      </w:r>
    </w:p>
    <w:p>
      <w:r>
        <w:t xml:space="preserve">f) von einer natürlichen oder juristischen Person, die damit beauftragt wurde, signifikante E-Geld-Token für einen Emittenten signifikanter E-Geld-Token zu vertreiben;</w:t>
      </w:r>
    </w:p>
    <w:p>
      <w:r>
        <w:t xml:space="preserve">g) von einem Anbieter von Kryptowerte-Dienstleistungen für die Verwahrung und Verwaltung von Kryptowerten für Kunden in Bezug auf signifikante vermögenswertereferenzierte Token oder signifikante E-Geld-Token;</w:t>
      </w:r>
    </w:p>
    <w:p>
      <w:r>
        <w:t xml:space="preserve">h) von einem Betreiber einer Handelsplattform für Kryptowerte, der einen signifikanten vermögenswertereferenzierten Token oder einen signifikanten E-Geld-Token zum Handel zugelassen hat;</w:t>
      </w:r>
    </w:p>
    <w:p>
      <w:r>
        <w:t xml:space="preserve">i) vom Leitungsorgan der unter den Buchstaben a bis h genannten Personen.</w:t>
      </w:r>
    </w:p>
    <w:p>
      <w:r>
        <w:t xml:space="preserve">(2) Ein einfaches Informationsersuchen gemäß Absatz 1 enthält</w:t>
      </w:r>
    </w:p>
    <w:p>
      <w:r>
        <w:t xml:space="preserve">a) eine Bezugnahme auf diesen Artikel als Rechtsgrundlage des Ersuchens,</w:t>
      </w:r>
    </w:p>
    <w:p>
      <w:r>
        <w:t xml:space="preserve">b) den Zweck des Ersuchens,</w:t>
      </w:r>
    </w:p>
    <w:p>
      <w:r>
        <w:t xml:space="preserve">c) nähere Angaben zu den verlangten Informationen,</w:t>
      </w:r>
    </w:p>
    <w:p>
      <w:r>
        <w:t xml:space="preserve">d) die Frist für die Vorlage der Informationen,</w:t>
      </w:r>
    </w:p>
    <w:p>
      <w:r>
        <w:t xml:space="preserve">e) eine Unterrichtung der Person, die um Informationen ersucht wird, darüber, dass sie nicht zu deren Übermittlung verpflichtet ist, dass aber die übermittelten Informationen im Falle einer freiwilligen Beantwortung des Ersuchens nicht falsch und nicht irreführend sein dürfen, und</w:t>
      </w:r>
    </w:p>
    <w:p>
      <w:r>
        <w:t xml:space="preserve">f) Angaben zu der Geldbuße, die in Artikel 131 für den Fall vorgesehen ist, dass die Antworten auf gestellte Fragen falsch oder irreführend sind.</w:t>
      </w:r>
    </w:p>
    <w:p>
      <w:r>
        <w:t xml:space="preserve">(3) Fordert die EBA die Vorlage von Informationen im Wege eines Beschlusses nach Absatz 1 an, so enthält der Beschluss</w:t>
      </w:r>
    </w:p>
    <w:p>
      <w:r>
        <w:t xml:space="preserve">a) eine Bezugnahme auf diesen Artikel als Rechtsgrundlage des Ersuchens,</w:t>
      </w:r>
    </w:p>
    <w:p>
      <w:r>
        <w:t xml:space="preserve">b) den Zweck des Ersuchens,</w:t>
      </w:r>
    </w:p>
    <w:p>
      <w:r>
        <w:t xml:space="preserve">c) nähere Angaben zu den verlangten Informationen,</w:t>
      </w:r>
    </w:p>
    <w:p>
      <w:r>
        <w:t xml:space="preserve">d) die Frist für die Vorlage der Informationen,</w:t>
      </w:r>
    </w:p>
    <w:p>
      <w:r>
        <w:t xml:space="preserve">e) Angaben zu den Zwangsgeldern, die nach Artikel 132 verhängt werden, falls Informationen beizubringen sind,</w:t>
      </w:r>
    </w:p>
    <w:p>
      <w:r>
        <w:t xml:space="preserve">f) Angaben zu der Geldbuße, die in Artikel 131 für den Fall vorgesehen ist, dass die Antworten auf gestellte Fragen falsch oder irreführend sind, und</w:t>
      </w:r>
    </w:p>
    <w:p>
      <w:r>
        <w:t xml:space="preserve">g) den Hinweis auf das Recht, nach den Artikeln 60 und 61 der Verordnung (EU) Nr. 1093/2010 vor dem Beschwerdeausschuss der EBA Beschwerde gegen den Beschluss einzulegen und den Beschluss durch den Gerichtshof überprüfen zu lassen.</w:t>
      </w:r>
    </w:p>
    <w:p>
      <w:r>
        <w:t xml:space="preserve">(4) Die in Absatz 1 genannten Personen oder deren Vertreter und bei juristischen Personen und nicht rechtsfähigen Vereinen die nach Gesetz zur Vertretung berufenen Personen stellen die geforderten Informationen zur Verfügung.</w:t>
      </w:r>
    </w:p>
    <w:p>
      <w:r>
        <w:t xml:space="preserve">(5) Die EBA übermittelt der zuständigen Behörde des Mitgliedstaats, in dem die von dem Informationsersuchen betroffenen Personen ansässig oder niedergelassen sind, unverzüglich eine Kopie des einfachen Ersuchens oder ihres Beschlusses.</w:t>
      </w:r>
    </w:p>
    <w:p>
      <w:r>
        <w:rPr>
          <w:color w:val="555555"/>
          <w:sz w:val="17"/>
        </w:rPr>
        <w:t xml:space="preserve">Zitiervorschlag: Art 122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