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121 MiCA — Rechtsprivileg</w:t>
      </w:r>
    </w:p>
    <w:p>
      <w:r>
        <w:rPr>
          <w:color w:val="555555"/>
          <w:sz w:val="18"/>
        </w:rPr>
        <w:t xml:space="preserve">MiCA</w:t>
      </w:r>
    </w:p>
    <w:p>
      <w:r>
        <w:rPr>
          <w:color w:val="555555"/>
          <w:sz w:val="18"/>
        </w:rPr>
        <w:t xml:space="preserve">Stand: 22.07.2026 (konsolidierte Textfassung, kein amtliches Inkrafttretensdatum)</w:t>
      </w:r>
    </w:p>
    <w:p>
      <w:r>
        <w:t xml:space="preserve">Die der EBA oder Bediensteten der EBA oder sonstigen von ihr bevollmächtigten Personen nach den Artikeln 122 bis 125 übertragenen Befugnisse dürfen nicht genutzt werden, um die Offenlegung von Informationen zu verlangen, die einem Rechtsprivileg unterliegen.</w:t>
      </w:r>
    </w:p>
    <w:p>
      <w:r>
        <w:rPr>
          <w:color w:val="555555"/>
          <w:sz w:val="17"/>
        </w:rPr>
        <w:t xml:space="preserve">Zitiervorschlag: Art 121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