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 MiCA — Unverbindliche Stellungnahmen der Kollegien für Emittenten signifikanter vermögenswertereferenzierter Token und signifikanter E-Geld-Token</w:t>
      </w:r>
    </w:p>
    <w:p>
      <w:r>
        <w:rPr>
          <w:color w:val="555555"/>
          <w:sz w:val="18"/>
        </w:rPr>
        <w:t xml:space="preserve">MiCA</w:t>
      </w:r>
    </w:p>
    <w:p>
      <w:r>
        <w:rPr>
          <w:color w:val="555555"/>
          <w:sz w:val="18"/>
        </w:rPr>
        <w:t xml:space="preserve">Stand: 22.07.2026 (konsolidierte Textfassung, kein amtliches Inkrafttretensdatum)</w:t>
      </w:r>
    </w:p>
    <w:p>
      <w:r>
        <w:t xml:space="preserve">(1) Das in Artikel 119 Absatz 1 genannte Kollegium kann eine unverbindliche Stellungnahme zu Folgendem abgeben:</w:t>
      </w:r>
    </w:p>
    <w:p>
      <w:r>
        <w:t xml:space="preserve">a) zur aufsichtlichen Neubewertung nach Artikel 117 Absatz 3;</w:t>
      </w:r>
    </w:p>
    <w:p>
      <w:r>
        <w:t xml:space="preserve">b) zu jedem Beschluss, von einem Emittenten eines signifikanten vermögenswertereferenzierten Token oder eines E-Geld-Token einen höheren Eigenmittelbetrag je nach Einschlägigkeit gemäß Artikel 35 Absätze 2, 3 und 5, Artikel 45 Absatz 5 und Artikel 58 Absatz 1 zu verlangen;</w:t>
      </w:r>
    </w:p>
    <w:p>
      <w:r>
        <w:t xml:space="preserve">c) zu jeder Aktualisierung des Sanierungsplans oder Rücktauschplans eines Emittenten eines signifikanten vermögenswertereferenzierten Token oder eines Emittenten eines signifikanten E-Geld-Token je nach Einschlägigkeit nach den Artikeln 46, 47 und 55;</w:t>
      </w:r>
    </w:p>
    <w:p>
      <w:r>
        <w:t xml:space="preserve">d) zu jeder Veränderung des Geschäftsmodells des Emittenten eines signifikanten vermögenswertereferenzierten Token nach Artikel 25 Absatz 1;</w:t>
      </w:r>
    </w:p>
    <w:p>
      <w:r>
        <w:t xml:space="preserve">e) zum Entwurf eines geänderten Kryptowerte-Whitepapers, der gemäß Artikel 25 Absatz 2 ausgearbeitet wurde;</w:t>
      </w:r>
    </w:p>
    <w:p>
      <w:r>
        <w:t xml:space="preserve">f) zu jeder geplanten angemessenen Korrekturmaßnahme nach Artikel 25 Absatz 4;</w:t>
      </w:r>
    </w:p>
    <w:p>
      <w:r>
        <w:t xml:space="preserve">g) zu jeder geplanten Aufsichtsmaßnahme nach Artikel 130;</w:t>
      </w:r>
    </w:p>
    <w:p>
      <w:r>
        <w:t xml:space="preserve">h) zu jeder geplanten Verwaltungsvereinbarung über den Informationsaustausch mit der Aufsichtsbehörde eines Drittlands nach Artikel 126;</w:t>
      </w:r>
    </w:p>
    <w:p>
      <w:r>
        <w:t xml:space="preserve">i) zu jeder Übertragung von Aufsichtsaufgaben von der EBA auf eine zuständige Behörde nach Artikel 138;</w:t>
      </w:r>
    </w:p>
    <w:p>
      <w:r>
        <w:t xml:space="preserve">j) zu jeder geplanten Veränderung bei der Zulassung der in Artikel 119 Absatz 2 Buchstaben d bis h genannten Mitglieder des Kollegiums oder einer in Bezug auf diese Mitglieder geplanten Aufsichtsmaßnahme;</w:t>
      </w:r>
    </w:p>
    <w:p>
      <w:r>
        <w:t xml:space="preserve">k) zum Entwurf eines geänderten Kryptowerte-Whitepapers, das gemäß Artikel 51 Absatz 12 ausgearbeitet wurde.</w:t>
      </w:r>
    </w:p>
    <w:p>
      <w:r>
        <w:t xml:space="preserve">(2) Gibt das Kollegium eine Stellungnahme nach Absatz 1 ab, so kann die Stellungnahme auf Antrag eines Mitglieds des Kollegiums und nach Annahme durch eine Mehrheit des Kollegiums nach Absatz 3 Empfehlungen für die Behebung von Mängeln bei der von der EBA oder den zuständigen Behörden geplanten Maßnahme enthalten.</w:t>
      </w:r>
    </w:p>
    <w:p>
      <w:r>
        <w:t xml:space="preserve">(3) Eine Stellungnahme des Kollegiums wird mit einfacher Mehrheit der Stimmen seiner Mitglieder verabschiedet.</w:t>
      </w:r>
    </w:p>
    <w:p>
      <w:r>
        <w:t xml:space="preserve">Wird ein Mitgliedstaat im Kollegium durch mehrere Mitglieder vertreten, so ist nur eines dieser Mitglieder stimmberechtigt.</w:t>
      </w:r>
    </w:p>
    <w:p>
      <w:r>
        <w:t xml:space="preserve">Hat das die EZB vertretende Mitglied des Kollegiums mehrere Funktionen, einschließlich Aufsichtsfunktionen, so verfügt es über nur eine Stimme.</w:t>
      </w:r>
    </w:p>
    <w:p>
      <w:r>
        <w:t xml:space="preserve">Die in Artikel 119 Absatz 2 Buchstabe m genannten Aufsichtsbehörden von Drittländern sind bei Stellungnahmen des Kollegiums nicht stimmberechtigt.</w:t>
      </w:r>
    </w:p>
    <w:p>
      <w:r>
        <w:t xml:space="preserve">(4) Die EBA bzw. die zuständigen Behörden tragen der gemäß Absatz 3 erarbeiteten Stellungnahme des Kollegiums gebührend Rechnung, einschließlich etwaiger Empfehlungen zur Behebung von Mängeln bei der Aufsichtsmaßnahme in Bezug auf einen Emittenten eines signifikanten vermögenswertereferenzierten Token, einen Emittenten eines signifikanten E-Geld-Token oder in Bezug auf die in Artikel 119 Absatz 2 Buchstaben d bis h genannten Unternehmen und Anbieter von Kryptowerte-Dienstleistungen. Folgen die EBA oder eine zuständige Behörde der Stellungnahme des Kollegiums einschließlich etwaiger darin enthaltener Empfehlungen für die Behebung von Mängeln bei der geplanten Aufsichtsmaßnahme nicht, so muss ihr Beschluss eine Begründung und eine Erläuterung jeder signifikanten Abweichung von dieser Stellungnahme oder diesen Empfehlungen enthalten.</w:t>
      </w:r>
    </w:p>
    <w:p>
      <w:r>
        <w:rPr>
          <w:color w:val="555555"/>
          <w:sz w:val="17"/>
        </w:rPr>
        <w:t xml:space="preserve">Zitiervorschlag: Art 120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