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119 MiCA — Kollegien für Emittenten signifikanter vermögenswertereferenzierter Token und Emittenten signifikanter E-Geld-Token</w:t>
      </w:r>
    </w:p>
    <w:p>
      <w:r>
        <w:rPr>
          <w:color w:val="555555"/>
          <w:sz w:val="18"/>
        </w:rPr>
        <w:t xml:space="preserve">MiCA</w:t>
      </w:r>
    </w:p>
    <w:p>
      <w:r>
        <w:rPr>
          <w:color w:val="555555"/>
          <w:sz w:val="18"/>
        </w:rPr>
        <w:t xml:space="preserve">Stand: 22.07.2026 (konsolidierte Textfassung, kein amtliches Inkrafttretensdatum)</w:t>
      </w:r>
    </w:p>
    <w:p>
      <w:r>
        <w:t xml:space="preserve">(1) Innerhalb von 30 Kalendertagen nach einem Beschluss über die Einstufung eines vermögenswertereferenzierten Token oder eines E-Geld-Token als signifikant gemäß Artikel 43 44, 56 oder 57 richtet die EBA für jeden Emittenten eines signifikanten vermögenswertereferenzierter Token oder eines signifikanten E-Geld-Token ein beratendes Aufsichtskollegium ein und übernimmt dessen Management und Vorsitz, um im Rahmen dieser Verordnung die Wahrnehmung der Aufsichtsaufgaben zu erleichtern und als Vehikel für die Koordinierung der Aufsichtstätigkeiten zu dienen.</w:t>
      </w:r>
    </w:p>
    <w:p>
      <w:r>
        <w:t xml:space="preserve">(2) Dem Kollegium nach Absatz 1 gehören an:</w:t>
      </w:r>
    </w:p>
    <w:p>
      <w:r>
        <w:t xml:space="preserve">a) die EBA,</w:t>
      </w:r>
    </w:p>
    <w:p>
      <w:r>
        <w:t xml:space="preserve">b) die ESMA,</w:t>
      </w:r>
    </w:p>
    <w:p>
      <w:r>
        <w:t xml:space="preserve">c) die zuständigen Behörden des Herkunftsmitgliedstaats, in dem der Emittent des signifikanten vermögenswertereferenzierten Token oder des signifikanten E-Geld-Token niedergelassen ist,</w:t>
      </w:r>
    </w:p>
    <w:p>
      <w:r>
        <w:t xml:space="preserve">d) die zuständigen Behörden der wichtigsten Anbieter von Kryptowerte-Dienstleistungen, Kreditinstitute oder Wertpapierfirmen, die die Verwahrung des Reservevermögens gemäß Artikel 37 oder des Geldbetrags, der im Tausch gegen die signifikanten E-Geld-Token eingenommen wurde, sicherstellen,</w:t>
      </w:r>
    </w:p>
    <w:p>
      <w:r>
        <w:t xml:space="preserve">e) sofern anwendbar, die zuständigen Behörden der wichtigsten Handelsplattformen für Kryptowerte, auf denen die signifikanten vermögenswertereferenzierten Token oder die signifikanten E-Geld-Token zum Handel zugelassen sind,</w:t>
      </w:r>
    </w:p>
    <w:p>
      <w:r>
        <w:t xml:space="preserve">f) die zuständigen Behörden der wichtigsten zugelassenen Zahlungsdienstleister, die Zahlungsdienste im Zusammenhang mit den signifikanten E-Geld-Token erbringen,</w:t>
      </w:r>
    </w:p>
    <w:p>
      <w:r>
        <w:t xml:space="preserve">g) sofern anwendbar, die zuständigen Behörden der Rechtsträger, die die in Artikel 34 Absatz 5 Unterabsatz 1 Buchstabe h genannten Aufgaben wahrnehmen,</w:t>
      </w:r>
    </w:p>
    <w:p>
      <w:r>
        <w:t xml:space="preserve">h) sofern anwendbar, die Behörden, die für die wichtigsten Anbieter von Kryptowerte-Dienstleistungen für die Verwahrung und Verwaltung von Kryptowerten für Kunden in Bezug auf die signifikanten vermögenswertereferenzierten Token oder signifikanten E-Geld-Token zuständig sind,</w:t>
      </w:r>
    </w:p>
    <w:p>
      <w:r>
        <w:t xml:space="preserve">i) die EZB,</w:t>
      </w:r>
    </w:p>
    <w:p>
      <w:r>
        <w:t xml:space="preserve">j) wenn der Emittent des signifikanten vermögenswertereferenzierten Token in einem Mitgliedstaat niedergelassen ist, dessen amtliche Währung nicht der Euro ist, oder wenn eine amtliche Währung, die nicht der Euro ist, als Bezugsgröße für den signifikanten vermögenswertereferenzierten Token gilt, die Zentralbank des betreffenden Mitgliedstaats,</w:t>
      </w:r>
    </w:p>
    <w:p>
      <w:r>
        <w:t xml:space="preserve">k) wenn der Emittent des signifikanten E-Geld-Token in einem Mitgliedstaat niedergelassen ist, dessen amtliche Währung nicht der Euro ist, oder wenn eine Währung, die nicht der Euro ist, als Bezugsgröße für den signifikanten E-Geld-Token gilt, die Zentralbank des betreffenden Mitgliedstaats,</w:t>
      </w:r>
    </w:p>
    <w:p>
      <w:r>
        <w:t xml:space="preserve">l) zuständige Behörden der Mitgliedstaaten, in denen der vermögenswertereferenzierte Token oder der E-Geld-Token in großem Maßstab verwendet wird, auf deren Ersuchen,</w:t>
      </w:r>
    </w:p>
    <w:p>
      <w:r>
        <w:t xml:space="preserve">m) einschlägige Aufsichtsbehörden von Drittländern, mit denen die EBA Verwaltungsvereinbarungen nach Artikel 126 geschlossen hat.</w:t>
      </w:r>
    </w:p>
    <w:p>
      <w:r>
        <w:t xml:space="preserve">(3) Die EBA kann andere Behörden einladen, Mitglieder des in Absatz 1 genannten Kollegiums zu werden, wenn die von ihnen beaufsichtigten Rechtsträger für die Arbeit des Kollegiums von Bedeutung sind.</w:t>
      </w:r>
    </w:p>
    <w:p>
      <w:r>
        <w:t xml:space="preserve">(4) Eine zuständige Behörde eines Mitgliedstaats, die nicht dem Kollegium angehört, kann vom Kollegium jedwede Auskunft verlangen, die sie für die Ausübung ihrer Aufsichtspflichten im Rahmen dieser Verordnung benötigt.</w:t>
      </w:r>
    </w:p>
    <w:p>
      <w:r>
        <w:t xml:space="preserve">(5) Das in Absatz 1 dieses Artikels genannte Kollegium nimmt — unbeschadet der Verantwortlichkeiten zuständiger Behörden im Rahmen dieser Verordnung — folgende Aufgaben wahr:</w:t>
      </w:r>
    </w:p>
    <w:p>
      <w:r>
        <w:t xml:space="preserve">a) Ausarbeitung der unverbindlichen Stellungnahme gemäß Artikel 120;</w:t>
      </w:r>
    </w:p>
    <w:p>
      <w:r>
        <w:t xml:space="preserve">b) Informationsaustausch gemäß dieser Verordnung;</w:t>
      </w:r>
    </w:p>
    <w:p>
      <w:r>
        <w:t xml:space="preserve">c) Einigung über die freiwillige Übertragung von Aufgaben unter seinen Mitgliedern.</w:t>
      </w:r>
    </w:p>
    <w:p>
      <w:r>
        <w:t xml:space="preserve">Um die Durchführung der dem Kollegium in Unterabsatz 1 dieses Absatzes zugewiesenen Aufgaben zu erleichtern, haben die in Absatz 2 genannten Mitglieder des Kollegiums das Recht, sich an der Festlegung der Tagesordnung für die Sitzungen des Kollegiums zu beteiligen, insbesondere durch das Hinzufügen von Punkten zur Tagesordnung einer Sitzung.</w:t>
      </w:r>
    </w:p>
    <w:p>
      <w:r>
        <w:t xml:space="preserve">(6) Grundlage für die Einrichtung und die Arbeitsweise des in Absatz 1 genannten Kollegiums ist eine schriftliche Vereinbarung zwischen allen Mitgliedern des Kollegiums.</w:t>
      </w:r>
    </w:p>
    <w:p>
      <w:r>
        <w:t xml:space="preserve">In der in Unterabsatz 1 genannten Vereinbarung werden die praktischen Modalitäten der Arbeitsweise des Kollegiums festgelegt, einschließlich detaillierter Regelungen für</w:t>
      </w:r>
    </w:p>
    <w:p>
      <w:r>
        <w:t xml:space="preserve">a) die Abstimmungsverfahren nach Artikel 120 Absatz 3,</w:t>
      </w:r>
    </w:p>
    <w:p>
      <w:r>
        <w:t xml:space="preserve">b) die Verfahren für die Festlegung der Tagesordnung von Sitzungen des Kollegiums,</w:t>
      </w:r>
    </w:p>
    <w:p>
      <w:r>
        <w:t xml:space="preserve">c) die Häufigkeit der Sitzungen des Kollegiums,</w:t>
      </w:r>
    </w:p>
    <w:p>
      <w:r>
        <w:t xml:space="preserve">d) die angemessenen Mindestfristen für die Bewertung der einschlägigen Unterlagen durch die Mitglieder des Kollegiums,</w:t>
      </w:r>
    </w:p>
    <w:p>
      <w:r>
        <w:t xml:space="preserve">e) die Modalitäten für die Kommunikation zwischen den Mitgliedern des Kollegiums,</w:t>
      </w:r>
    </w:p>
    <w:p>
      <w:r>
        <w:t xml:space="preserve">f) die Einrichtung mehrerer Kollegien, jeweils eines für jeden konkreten Kryptowert oder jede Gruppe von Kryptowerten.</w:t>
      </w:r>
    </w:p>
    <w:p>
      <w:r>
        <w:t xml:space="preserve">In der Vereinbarung können auch Aufgaben festgelegt werden, die der EBA oder einem anderen Mitglied des Kollegiums übertragen werden sollen.</w:t>
      </w:r>
    </w:p>
    <w:p>
      <w:r>
        <w:t xml:space="preserve">(7) Als Vorsitz eines jeden Kollegiums ist die EBA dafür zuständig,</w:t>
      </w:r>
    </w:p>
    <w:p>
      <w:r>
        <w:t xml:space="preserve">a) schriftliche Vereinbarungen und Verfahren für die Arbeitsweise des Kollegiums nach Konsultation der anderen Mitglieder des Kollegiums festzulegen,</w:t>
      </w:r>
    </w:p>
    <w:p>
      <w:r>
        <w:t xml:space="preserve">b) alle Tätigkeiten des Kollegiums zu koordinieren,</w:t>
      </w:r>
    </w:p>
    <w:p>
      <w:r>
        <w:t xml:space="preserve">c) dessen Sitzungen einzuberufen, in diesen Sitzungen den Vorsitz zu führen und die Mitglieder des Kollegiums vorab umfassend über die Anberaumung der Sitzungen des Kollegiums, die wichtigsten Tagesordnungspunkte und die zu erörternden Fragen zu informieren,</w:t>
      </w:r>
    </w:p>
    <w:p>
      <w:r>
        <w:t xml:space="preserve">d) den Mitgliedern des Kollegiums mitzuteilen, welche Sitzungen geplant sind, damit diese um Teilnahme ersuchen können, und</w:t>
      </w:r>
    </w:p>
    <w:p>
      <w:r>
        <w:t xml:space="preserve">e) die Mitglieder des Kollegiums über die in den betreffenden Sitzungen gefassten Beschlüsse und ihre Ergebnisse rechtzeitig zu unterrichten.</w:t>
      </w:r>
    </w:p>
    <w:p>
      <w:r>
        <w:t xml:space="preserve">(8) Um die einheitliche und kohärente Arbeitsweise der Kollegien sicherzustellen, erarbeitet die EBA in Zusammenarbeit mit der ESMA und der EZB Entwürfe für technische Regulierungsstandards zur Festlegung</w:t>
      </w:r>
    </w:p>
    <w:p>
      <w:r>
        <w:t xml:space="preserve">a) der Bedingungen, unter denen die in Absatz 2 Buchstaben d, e, f und h genannten Unternehmen als die wichtigsten anzusehen sind,</w:t>
      </w:r>
    </w:p>
    <w:p>
      <w:r>
        <w:t xml:space="preserve">b) der Bedingungen, bei deren Vorliegen angenommen wird, dass vermögenswertereferenzierte Token oder E-Geld-Token in großem Maßstab im Sinne von Absatz 2 Buchstabe L verwendet werden, und</w:t>
      </w:r>
    </w:p>
    <w:p>
      <w:r>
        <w:t xml:space="preserve">c) der Einzelheiten der in Absatz 6 genannten praktischen Modalitäten.</w:t>
      </w:r>
    </w:p>
    <w:p>
      <w:r>
        <w:t xml:space="preserve">Die EBA übermittelt der Kommission die in Unterabsatz 1 genannten Entwürfe technischer Regulierungsstandards bis 30. Juni 2024.</w:t>
      </w:r>
    </w:p>
    <w:p>
      <w:r>
        <w:t xml:space="preserve">Der Kommission wird die Befugnis übertragen, diese Verordnung durch die Annahme der in Unterabsatz 1 dieses Absatzes genannten technischen Regulierungsstandards gemäß den Artikeln 10 bis 14 der Verordnung (EU) Nr. 1093/2010 zu ergänzen.</w:t>
      </w:r>
    </w:p>
    <w:p>
      <w:r>
        <w:rPr>
          <w:color w:val="555555"/>
          <w:sz w:val="17"/>
        </w:rPr>
        <w:t xml:space="preserve">Zitiervorschlag: Art 119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https://recht.nulegal.eu/gesetze/MiCA/119</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