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113 MiCA — Rechtsmittel</w:t>
      </w:r>
    </w:p>
    <w:p>
      <w:r>
        <w:rPr>
          <w:color w:val="555555"/>
          <w:sz w:val="18"/>
        </w:rPr>
        <w:t xml:space="preserve">MiCA</w:t>
      </w:r>
    </w:p>
    <w:p>
      <w:r>
        <w:rPr>
          <w:color w:val="555555"/>
          <w:sz w:val="18"/>
        </w:rPr>
        <w:t xml:space="preserve">Stand: 22.07.2026 (konsolidierte Textfassung, kein amtliches Inkrafttretensdatum)</w:t>
      </w:r>
    </w:p>
    <w:p>
      <w:r>
        <w:t xml:space="preserve">(1) Die Mitgliedstaaten stellen sicher, dass Entscheidungen der zuständigen Behörden im Rahmen dieser Verordnung ordnungsgemäß begründet werden und gegen sie Rechtsmittel bei einem Gericht eingelegt werden können. Rechtsmittel bei einem Gericht können ebenfalls eingelegt werden, wenn über einen Zulassungsantrag, der alle nach den geltenden Vorschriften erforderlichen Angaben enthält, nicht binnen sechs Monaten nach seinem Eingang entschieden worden ist.</w:t>
      </w:r>
    </w:p>
    <w:p>
      <w:r>
        <w:t xml:space="preserve">(2) Die Mitgliedstaaten sorgen dafür, dass eine oder mehrere der folgenden nach nationalem Recht bestimmten Stellen gemäß dem nationalen Recht die Gerichte oder die zuständigen Verwaltungsinstanzen im Interesse von Verbrauchern anrufen kann bzw. können, damit die Anwendung dieser Verordnung sichergestellt ist:</w:t>
      </w:r>
    </w:p>
    <w:p>
      <w:r>
        <w:t xml:space="preserve">a) öffentliche Einrichtungen oder ihre Vertreter,</w:t>
      </w:r>
    </w:p>
    <w:p>
      <w:r>
        <w:t xml:space="preserve">b) Verbraucherverbände, die ein berechtigtes Interesse am Schutz der Inhaber von Kryptowerten haben, und</w:t>
      </w:r>
    </w:p>
    <w:p>
      <w:r>
        <w:t xml:space="preserve">c) Berufsverbände, die ein berechtigtes Interesse daran haben, sich für den Schutz ihrer Mitglieder einzusetzen.</w:t>
      </w:r>
    </w:p>
    <w:p>
      <w:r>
        <w:rPr>
          <w:color w:val="555555"/>
          <w:sz w:val="17"/>
        </w:rPr>
        <w:t xml:space="preserve">Zitiervorschlag: Art 113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https://recht.nulegal.eu/gesetze/MiCA/113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