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112 MiCA — Wahrnehmung der Aufsichts- und Sanktionsbefugnisse</w:t>
      </w:r>
    </w:p>
    <w:p>
      <w:r>
        <w:rPr>
          <w:color w:val="555555"/>
          <w:sz w:val="18"/>
        </w:rPr>
        <w:t xml:space="preserve">MiCA</w:t>
      </w:r>
    </w:p>
    <w:p>
      <w:r>
        <w:rPr>
          <w:color w:val="555555"/>
          <w:sz w:val="18"/>
        </w:rPr>
        <w:t xml:space="preserve">Stand: 22.07.2026 (konsolidierte Textfassung, kein amtliches Inkrafttretensdatum)</w:t>
      </w:r>
    </w:p>
    <w:p>
      <w:r>
        <w:t xml:space="preserve">(1) Bei der Festlegung von Art und Umfang einer nach Artikel 111 zu verhängenden verwaltungsrechtlichen Sanktion oder sonstigen verwaltungsrechtlichen Maßnahme berücksichtigen die zuständigen Behörden alle relevanten Umstände, gegebenenfalls einschließlich</w:t>
      </w:r>
    </w:p>
    <w:p>
      <w:r>
        <w:t xml:space="preserve">a) der Schwere und Dauer des Verstoßes;</w:t>
      </w:r>
    </w:p>
    <w:p>
      <w:r>
        <w:t xml:space="preserve">b) ob der Verstoß vorsätzlich oder fahrlässig begangen wurde;</w:t>
      </w:r>
    </w:p>
    <w:p>
      <w:r>
        <w:t xml:space="preserve">c) des Grads an Verantwortung der für den Verstoß verantwortlichen natürlichen oder juristischen Person;</w:t>
      </w:r>
    </w:p>
    <w:p>
      <w:r>
        <w:t xml:space="preserve">d) der Finanzkraft der für den Verstoß verantwortlichen natürlichen oder juristischen Person, wie sie sich aus dem Gesamtumsatz der verantwortlichen juristischen Person oder den Jahreseinkünften und dem Nettovermögen der verantwortlichen natürlichen Person ablesen lässt;</w:t>
      </w:r>
    </w:p>
    <w:p>
      <w:r>
        <w:t xml:space="preserve">e) der Höhe der durch den Verstoß von der für den Verstoß verantwortlichen natürlichen oder juristischen Person erzielten Gewinne oder vermiedenen Verluste, sofern sich diese beziffern lassen;</w:t>
      </w:r>
    </w:p>
    <w:p>
      <w:r>
        <w:t xml:space="preserve">f) der Verluste, die Dritten durch den Verstoß entstanden sind, sofern sich diese beziffern lassen;</w:t>
      </w:r>
    </w:p>
    <w:p>
      <w:r>
        <w:t xml:space="preserve">g) des Ausmaßes der Zusammenarbeit der für den Verstoß verantwortlichen natürlichen oder juristischen Person mit der zuständigen Behörde, unbeschadet des Erfordernisses, die erzielten Gewinne oder vermiedenen Verluste dieser Person einzuziehen;</w:t>
      </w:r>
    </w:p>
    <w:p>
      <w:r>
        <w:t xml:space="preserve">h) früherer Verstöße gegen diese Verordnung der für den Verstoß verantwortlichen natürlichen oder juristischen Person;</w:t>
      </w:r>
    </w:p>
    <w:p>
      <w:r>
        <w:t xml:space="preserve">i) der Maßnahmen, die von der für den Verstoß verantwortlichen Person ergriffen wurden, um eine Wiederholung des Verstoßes zu verhindern;</w:t>
      </w:r>
    </w:p>
    <w:p>
      <w:r>
        <w:t xml:space="preserve">j) der Auswirkungen des Verstoßes auf die Interessen der Inhaber von Kryptowerten und der Kunden von Anbietern von Kryptowerte-Dienstleistungen, insbesondere Kleinanleger.</w:t>
      </w:r>
    </w:p>
    <w:p>
      <w:r>
        <w:t xml:space="preserve">(2) Bei der Wahrnehmung ihrer Befugnisse zur Verhängung von verwaltungsrechtlichen Sanktionen oder anderen verwaltungsrechtlichen Maßnahmen nach Artikel 111 arbeiten die zuständigen Behörden eng zusammen, um sicherzustellen, dass die Wahrnehmung ihrer Aufsichts- und Untersuchungsbefugnisse sowie die von ihnen verhängten verwaltungsrechtlichen Sanktionen und anderen verwaltungsrechtlichen Maßnahmen wirksam und angemessen sind. Sie stimmen ihre Maßnahmen ab, um Doppelarbeit und Überschneidungen bei der Wahrnehmung ihrer Aufsichts- und Untersuchungsbefugnisse und bei der Verhängung von verwaltungsrechtlichen Sanktionen und anderen verwaltungsrechtlichen Maßnahmen in grenzüberschreitenden Fällen zu vermeiden.</w:t>
      </w:r>
    </w:p>
    <w:p>
      <w:r>
        <w:rPr>
          <w:color w:val="555555"/>
          <w:sz w:val="17"/>
        </w:rPr>
        <w:t xml:space="preserve">Zitiervorschlag: Art 112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https://recht.nulegal.eu/gesetze/MiCA/112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