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111 MiCA — Verwaltungsrechtliche Sanktionen und andere verwaltungsrechtliche Maßnahmen</w:t>
      </w:r>
    </w:p>
    <w:p>
      <w:r>
        <w:rPr>
          <w:color w:val="555555"/>
          <w:sz w:val="18"/>
        </w:rPr>
        <w:t xml:space="preserve">MiCA</w:t>
      </w:r>
    </w:p>
    <w:p>
      <w:r>
        <w:rPr>
          <w:color w:val="555555"/>
          <w:sz w:val="18"/>
        </w:rPr>
        <w:t xml:space="preserve">Stand: 22.07.2026 (konsolidierte Textfassung, kein amtliches Inkrafttretensdatum)</w:t>
      </w:r>
    </w:p>
    <w:p>
      <w:r>
        <w:t xml:space="preserve">(1) Unbeschadet strafrechtlicher Sanktionen und unbeschadet der Aufsichts- und Untersuchungsbefugnisse der in Artikel 94 aufgeführten zuständigen Behörden übertragen die Mitgliedstaaten im Einklang mit nationalem Recht den zuständigen Behörden die Befugnis, angemessene verwaltungsrechtliche Sanktionen und andere verwaltungsrechtliche Maßnahmen in Bezug auf mindestens die folgenden Verstöße zu ergreifen:</w:t>
      </w:r>
    </w:p>
    <w:p>
      <w:r>
        <w:t xml:space="preserve">a) Verstöße gegen die Artikel 4 bis 14;</w:t>
      </w:r>
    </w:p>
    <w:p>
      <w:r>
        <w:t xml:space="preserve">b) Verstöße gegen die Artikel 16, 17, 19, 22, 23 und 25, die Artikel 27 bis 41 und die Artikel 46 und 47;</w:t>
      </w:r>
    </w:p>
    <w:p>
      <w:r>
        <w:t xml:space="preserve">c) Verstöße gegen die Artikel 48 bis 51, 53, 54 und 55;</w:t>
      </w:r>
    </w:p>
    <w:p>
      <w:r>
        <w:t xml:space="preserve">d) Verstöße gegen die Artikel 59, 60, 64 und die Artikel 65 bis 83;</w:t>
      </w:r>
    </w:p>
    <w:p>
      <w:r>
        <w:t xml:space="preserve">e) Verstöße gegen die Artikel 88 bis 92;</w:t>
      </w:r>
    </w:p>
    <w:p>
      <w:r>
        <w:t xml:space="preserve">f) Verweigerung der Zusammenarbeit bei einer Untersuchung, einer Prüfung oder einem Ersuchen gemäß Artikel 94 Absatz 3.</w:t>
      </w:r>
    </w:p>
    <w:p>
      <w:r>
        <w:t xml:space="preserve">Die Mitgliedstaaten können beschließen, keine Regelungen für verwaltungsrechtliche Sanktionen festzulegen, sofern die in Unterabsatz 1 Buchstaben a, b, c, d oder e genannten Verstöße zum 30. Juni 2024 gemäß dem nationalen Recht bereits strafrechtlichen Sanktionen unterliegen. Im Falle eines solchen Beschlusses teilen die Mitgliedstaaten der Kommission, der ESMA und der EBA die entsprechenden Bestimmungen ihres Strafrechts im Detail mit.</w:t>
      </w:r>
    </w:p>
    <w:p>
      <w:r>
        <w:t xml:space="preserve">Die Mitgliedstaaten teilen der Kommission, der EBA und der ESMA die in den Unterabsätzen 1 und 2 genannten Regelungen im Detail bis zum 30. Juni 2025 mit. Außerdem teilen sie der Kommission, der ESMA und der EBA jede spätere Änderung dieser Regelungen unverzüglich mit.</w:t>
      </w:r>
    </w:p>
    <w:p>
      <w:r>
        <w:t xml:space="preserve">(2) Die Mitgliedstaaten stellen im Einklang mit ihrem nationalen Recht sicher, dass die zuständigen Behörden die Befugnis haben, bei den in Absatz 1 Unterabsatz 1 Buchstaben a bis d genannten Verstößen zumindest die folgenden verwaltungsrechtlichen Sanktionen und anderen verwaltungsrechtlichen Maßnahmen zu verhängen:</w:t>
      </w:r>
    </w:p>
    <w:p>
      <w:r>
        <w:t xml:space="preserve">a) öffentliche Bekanntgabe der für den Verstoß verantwortlichen natürlichen oder juristischen Person und der Art des Verstoßes;</w:t>
      </w:r>
    </w:p>
    <w:p>
      <w:r>
        <w:t xml:space="preserve">b) Anordnung an die verantwortliche natürliche oder juristische Person, das den Verstoß darstellende Verhalten einzustellen und von einer Wiederholung abzusehen;</w:t>
      </w:r>
    </w:p>
    <w:p>
      <w:r>
        <w:t xml:space="preserve">c) maximale Verwaltungsgeldbußen in mindestens zweifacher Höhe der infolge des Verstoßes erzielten Gewinne oder vermiedenen Verluste, soweit sich diese beziffern lassen, auch wenn sie über die in Buchstabe d dieses Absatzes und in Absatz 3 für juristische Personen genannten Maximalbeträge hinausgehen;</w:t>
      </w:r>
    </w:p>
    <w:p>
      <w:r>
        <w:t xml:space="preserve">d) im Falle einer natürlichen Person maximale Verwaltungsgeldbußen von mindestens 700 000 EUR bzw. in den Mitgliedstaaten, deren amtliche Währung nicht der Euro ist, dem Gegenwert in der Landeswährung am 29. Juni 2023;</w:t>
      </w:r>
    </w:p>
    <w:p>
      <w:r>
        <w:t xml:space="preserve">(3) Die Mitgliedstaaten stellen im Einklang mit ihrem nationalen Recht sicher, dass die zuständigen Behörden die Befugnis haben, bei Verstößen, die von juristischen Personen begangen werden, maximale Verwaltungsgeldbußen mindestens in folgender Höhe zu verhängen:</w:t>
      </w:r>
    </w:p>
    <w:p>
      <w:r>
        <w:t xml:space="preserve">a) 5 000 000 EUR oder in den Mitgliedstaaten, deren amtliche Währung nicht der Euro ist, der Gegenwert in der amtlichen Währung am 29. Juni 2023 für Verstöße gemäß Absatz 1 Unterabsatz 1 Buchstaben a bis d;</w:t>
      </w:r>
    </w:p>
    <w:p>
      <w:r>
        <w:t xml:space="preserve">b) 3 % des jährlichen Gesamtumsatzes der juristischen Person gemäß dem letzten verfügbaren vom Leitungsorgan gebilligten Abschluss für Verstöße gemäß Absatz 1 Unterabsatz 1 Buchstabe a;</w:t>
      </w:r>
    </w:p>
    <w:p>
      <w:r>
        <w:t xml:space="preserve">c) 5 % des jährlichen Gesamtumsatzes der juristischen Person gemäß dem letzten verfügbaren vom Leitungsorgan gebilligten Abschluss für Verstöße gemäß Absatz 1 Unterabsatz 1 Buchstabe d;</w:t>
      </w:r>
    </w:p>
    <w:p>
      <w:r>
        <w:t xml:space="preserve">d) 12,5 % des jährlichen Gesamtumsatzes der juristischen Person gemäß dem letzten verfügbaren vom Leitungsorgan gebilligten Abschluss für Verstöße gemäß Absatz 1 Unterabsatz 1 Buchstaben b und c.</w:t>
      </w:r>
    </w:p>
    <w:p>
      <w:r>
        <w:t xml:space="preserve">Handelt es sich bei der juristischen Person gemäß Unterabsatz 1 Buchstaben a bis d um ein Mutterunternehmen oder ein Tochterunternehmen eines Mutterunternehmens, das nach der Richtlinie 2013/34/EU einen konsolidierten Abschluss aufzustellen hat, so ist der relevante jährliche Gesamtumsatz der jährliche Gesamtumsatz oder die entsprechende Einkunftsart nach dem geltenden Unionsrecht für die Rechnungslegung, der/die im letzten verfügbaren konsolidierten Abschluss ausgewiesen ist, der vom Leitungsorgan des Mutterunternehmens an der Spitze gebilligt wurde.</w:t>
      </w:r>
    </w:p>
    <w:p>
      <w:r>
        <w:t xml:space="preserve">(4) Zusätzlich zu den verwaltungsrechtlichen Sanktionen und anderen verwaltungsrechtlichen Maßnahmen gemäß den Absätzen 2 und 3 stellen die Mitgliedstaaten im Einklang mit dem nationalen Recht sicher, dass die zuständigen Behörden die Befugnis haben, im Falle der in Absatz 1 Unterabsatz 1 Buchstabe d genannten Verstöße ein vorübergehendes Verbot zu verhängen, das ein Mitglied des Leitungsorgans des Anbieters von Kryptowerte-Dienstleistungen oder jede andere natürliche Person, die für den Verstoß verantwortlich gemacht wird, daran hindert, bei einem Anbieter von Kryptowerte-Dienstleistungen Leitungsaufgaben wahrzunehmen.</w:t>
      </w:r>
    </w:p>
    <w:p>
      <w:r>
        <w:t xml:space="preserve">(5) Die Mitgliedstaaten stellen im Einklang mit den nationalen Recht sicher, dass die zuständigen Behörden die Befugnis haben, bei den in Absatz 1 Unterabsatz 1 Buchstabe e genannten Verstößen zumindest die folgenden verwaltungsrechtlichen Sanktionen und anderen verwaltungsrechtlichen Maßnahmen zu verhängen:</w:t>
      </w:r>
    </w:p>
    <w:p>
      <w:r>
        <w:t xml:space="preserve">a) öffentliche Bekanntgabe der verantwortlichen natürlichen oder juristischen Person und der Art des Verstoßes;</w:t>
      </w:r>
    </w:p>
    <w:p>
      <w:r>
        <w:t xml:space="preserve">b) Anordnung an die verantwortliche natürliche oder juristische Person, das den Verstoß darstellende Verhalten einzustellen und von einer Wiederholung abzusehen;</w:t>
      </w:r>
    </w:p>
    <w:p>
      <w:r>
        <w:t xml:space="preserve">c) Einzug der durch den Verstoß erzielten Gewinne oder vermiedenen Verluste, sofern diese sich beziffern lassen;</w:t>
      </w:r>
    </w:p>
    <w:p>
      <w:r>
        <w:t xml:space="preserve">d) Entzug oder Aussetzung der Zulassung eines Anbieters von Kryptowerte-Dienstleistungen;</w:t>
      </w:r>
    </w:p>
    <w:p>
      <w:r>
        <w:t xml:space="preserve">e) vorübergehendes Verbot für die Mitglieder des Leitungsorgans des Anbieters von Kryptowerte-Dienstleistungen oder für andere natürliche Person, die für den Verstoß verantwortlich gemacht werden, bei dem Anbieter von Kryptowerte-Dienstleistungen Leitungsaufgaben wahrzunehmen;</w:t>
      </w:r>
    </w:p>
    <w:p>
      <w:r>
        <w:t xml:space="preserve">f) bei wiederholten Verstößen gegen die Artikel 89, 90, 91 oder 92 ein für mindestens zehn Jahre geltendes Verbot für ein Mitglied des Leitungsorgans des Anbieters von Kryptowerte-Dienstleistungen oder für andere natürliche Person, die für den Verstoß verantwortlich gemacht werden, bei einem Anbieter von Kryptowerte-Dienstleistungen Leitungsaufgaben wahrzunehmen;</w:t>
      </w:r>
    </w:p>
    <w:p>
      <w:r>
        <w:t xml:space="preserve">g) vorübergehendes Verbot für die Mitglieder des Leitungsorgans des Anbieters von Kryptowerte-Dienstleistungen oder für andere natürliche Personen, die für den Verstoß verantwortlich gemacht werden, Eigengeschäfte zu tätigen;</w:t>
      </w:r>
    </w:p>
    <w:p>
      <w:r>
        <w:t xml:space="preserve">h) maximale Verwaltungsgeldbußen in mindestens dreifacher Höhe der infolge des Verstoßes erzielten Gewinne oder vermiedenen Verluste, soweit sich diese beziffern lassen, auch wenn sie — ja nach Fall — über die unter Buchstabe i oder j, genannten Maximalbeträge hinausgehen;</w:t>
      </w:r>
    </w:p>
    <w:p>
      <w:r>
        <w:t xml:space="preserve">i) bei natürlichen Personen maximale Verwaltungsgeldbußen in Höhe von mindestens 1 000 000 EUR für Verstöße gegen Artikel 88 und 5 000 000 EUR für Verstöße gegen die Artikel 89 bis 92 bzw. in den Mitgliedstaaten, deren amtliche Währung nicht der Euro ist, dem Gegenwert in der Landeswährung zum 29. Juni 2023;</w:t>
      </w:r>
    </w:p>
    <w:p>
      <w:r>
        <w:t xml:space="preserve">j) bei juristischen Personen maximale Verwaltungsgeldbußen in Höhe von mindestens 2 500 000 EUR für Verstöße gegen Artikel 88 und 15 000 000 EUR für Verstöße gegen die Artikel 89 bis 92 oder 2 % für Verstöße gegen Artikel 88 und 15 % für Verstöße gegen die Artikel 89 bis 92 des jährlichen Gesamtumsatzes der juristischen Person gemäß dem letzten verfügbaren durch das Leitungsorgan gebilligten Abschluss bzw. in den Mitgliedstaaten, deren amtliche Währung nicht der Euro ist, dem Gegenwert in der Landeswährung zum 29. Juni 2023.</w:t>
      </w:r>
    </w:p>
    <w:p>
      <w:r>
        <w:t xml:space="preserve">Für die Zwecke von Unterabsatz 1 Buchstabe j ist, wenn es sich bei der juristischen Person um ein Mutterunternehmen oder ein Tochterunternehmen eines Mutterunternehmens handelt, das nach der Richtlinie 2013/34/EU einen konsolidierten Abschluss aufzustellen hat, der relevante jährliche Gesamtumsatz der jährliche Gesamtumsatz oder die entsprechende Einkunftsart nach dem geltenden Unionsrecht für die Rechnungslegung, der/die im letzten verfügbaren konsolidierten Abschluss ausgewiesen ist, der vom Leitungsorgan des Mutterunternehmens an der Spitze gebilligt wurde.</w:t>
      </w:r>
    </w:p>
    <w:p>
      <w:r>
        <w:t xml:space="preserve">(6) Die Mitgliedstaaten können den zuständigen Behörden zusätzlich zu den in den Absätzen 2 bis 5 genannten Befugnissen weitere Befugnisse übertragen und sowohl gegen natürliche als auch gegen juristische Personen, die für den Verstoß verantwortlich sind, höhere als die in jenen Absätzen genannten Sanktionen vorsehen.</w:t>
      </w:r>
    </w:p>
    <w:p>
      <w:r>
        <w:rPr>
          <w:color w:val="555555"/>
          <w:sz w:val="17"/>
        </w:rPr>
        <w:t xml:space="preserve">Zitiervorschlag: Art 111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https://recht.nulegal.eu/gesetze/MiCA/111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