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110 MiCA — Register der nicht konformen Unternehmen, die Kryptowerte-Dienstleistungen erbringen</w:t>
      </w:r>
    </w:p>
    <w:p>
      <w:r>
        <w:rPr>
          <w:color w:val="555555"/>
          <w:sz w:val="18"/>
        </w:rPr>
        <w:t xml:space="preserve">MiCA</w:t>
      </w:r>
    </w:p>
    <w:p>
      <w:r>
        <w:rPr>
          <w:color w:val="555555"/>
          <w:sz w:val="18"/>
        </w:rPr>
        <w:t xml:space="preserve">Stand: 22.07.2026 (konsolidierte Textfassung, kein amtliches Inkrafttretensdatum)</w:t>
      </w:r>
    </w:p>
    <w:p>
      <w:r>
        <w:t xml:space="preserve">(1) Die ESMA erstellt ein nicht erschöpfendes Register von Unternehmen, die unter Verstoß gegen Artikel 59 oder 61 Kryptowerte-Dienstleistungen erbringen.</w:t>
      </w:r>
    </w:p>
    <w:p>
      <w:r>
        <w:t xml:space="preserve">(2) Das Register enthält mindestens den Handelsnamen oder die Website eines nicht konformen Unternehmens und den Namen der zuständigen Behörde, die die Informationen übermittelt hat.</w:t>
      </w:r>
    </w:p>
    <w:p>
      <w:r>
        <w:t xml:space="preserve">(3) Das Register ist auf der Website der ESMA in maschinenlesbarem Format öffentlich zugänglich und wird regelmäßig aktualisiert, um etwaigen Änderungen der Umstände oder sonstigen Informationen, die der ESMA in Bezug auf die registrierten nicht konformen Unternehmen zur Kenntnis gebracht werden, Rechnung zu tragen. Das Register ermöglicht einen zentralisierten Zugang zu Informationen, die von den zuständigen Behörden der Mitgliedstaaten oder von Drittländern sowie von der EBA übermittelt werden.</w:t>
      </w:r>
    </w:p>
    <w:p>
      <w:r>
        <w:t xml:space="preserve">(4) Die ESMA aktualisiert das Register, um Informationen über jeden Verstoß gegen diese Verordnung aufzunehmen, den sie auf eigene Initiative gemäß Artikel 17 der Verordnung (EU) Nr. 1095/2010 festgestellt hat und zu dem sie einen an ein nicht konformes Unternehmen, das Kryptowerte-Dienstleistungen erbringt, gerichteten Beschluss nach Absatz 6 des genannten Artikels erlassen hat, sowie Informationen über Unternehmen, die Kryptowerte-Dienstleistungen erbringen, ohne über die erforderliche Zulassung oder Registrierung zu verfügen, die von den zuständigen Aufsichtsbehörden von Drittländern vorgelegt wurde.</w:t>
      </w:r>
    </w:p>
    <w:p>
      <w:r>
        <w:t xml:space="preserve">(5) In den in Absatz 4 des vorliegenden Artikels genannten Fällen kann die ESMA die einschlägigen Aufsichts- und Untersuchungsbefugnisse der zuständigen Behörden nach Artikel 94 Absatz 1 auf nicht konforme Unternehmen, die Kryptowerte-Dienstleistungen erbringen, anwenden.</w:t>
      </w:r>
    </w:p>
    <w:p>
      <w:r>
        <w:rPr>
          <w:color w:val="555555"/>
          <w:sz w:val="17"/>
        </w:rPr>
        <w:t xml:space="preserve">Zitiervorschlag: Art 110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https://recht.nulegal.eu/gesetze/MiCA/110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