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MiCA — Rechte von Anbietern anderer Kryptowerte als vermögenswertereferenzierter Token oder E-Geld-Token und von Personen, die die Zulassung solcher Kryptowerte zum Handel beantragen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Nach der Veröffentlichung des Kryptowerte-Whitepapers gemäß Artikel 9 und des etwaigen geänderten Kryptowerte-Whitepapers gemäß Artikel 12 können Anbieter Kryptowerte, die keine vermögenswertereferenzierten Token oder E-Geld-Token sind, in der gesamten Union anbieten, und solche Kryptowerte können zum Handel auf einer Handelsplattform für Kryptowerte in der Union zugelassen werden.</w:t>
      </w:r>
    </w:p>
    <w:p>
      <w:r>
        <w:t xml:space="preserve">(2) Anbieter von anderen Kryptowerten als vermögenswertereferenzierten Token oder E-Geld-Token und Personen, die die Zulassung solcher Kryptowerte zum Handel beantragen, die ein Kryptowerte-Whitepaper gemäß Artikel 9 und ein etwaiges geändertes Kryptowerte-Whitepaper gemäß Artikel 12 veröffentlicht haben, unterliegen in Bezug auf das öffentliche Angebot oder die Zulassung dieses Kryptowert zum Handel keinen weiteren Informationspflichten.</w:t>
      </w:r>
    </w:p>
    <w:p>
      <w:r>
        <w:rPr>
          <w:color w:val="555555"/>
          <w:sz w:val="17"/>
        </w:rPr>
        <w:t xml:space="preserve">Zitiervorschlag: Art 11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