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107 MiCA — Zusammenarbeit mit Drittländern</w:t>
      </w:r>
    </w:p>
    <w:p>
      <w:r>
        <w:rPr>
          <w:color w:val="555555"/>
          <w:sz w:val="18"/>
        </w:rPr>
        <w:t xml:space="preserve">MiCA</w:t>
      </w:r>
    </w:p>
    <w:p>
      <w:r>
        <w:rPr>
          <w:color w:val="555555"/>
          <w:sz w:val="18"/>
        </w:rPr>
        <w:t xml:space="preserve">Stand: 22.07.2026 (konsolidierte Textfassung, kein amtliches Inkrafttretensdatum)</w:t>
      </w:r>
    </w:p>
    <w:p>
      <w:r>
        <w:t xml:space="preserve">(1) Die zuständigen Behörden der Mitgliedstaaten treffen erforderlichenfalls mit den Aufsichtsbehörden von Drittländern Kooperationsvereinbarungen über den Informationsaustausch mit diesen Aufsichtsbehörden von Drittländern und die Durchsetzung von Verpflichtungen, die sich aus dieser Verordnung in diesen Drittländern ergeben. Diese Kooperationsvereinbarungen stellen zumindest einen wirksamen Informationsaustausch sicher, der den zuständigen Behörden die Wahrnehmung ihrer Aufgaben im Rahmen dieser Verordnung ermöglicht.</w:t>
      </w:r>
    </w:p>
    <w:p>
      <w:r>
        <w:t xml:space="preserve">Beabsichtigt eine zuständige Behörde den Abschluss einer derartigen Vereinbarung, setzt sie die EBA, die ESMA und die anderen zuständigen Behörden davon in Kenntnis.</w:t>
      </w:r>
    </w:p>
    <w:p>
      <w:r>
        <w:t xml:space="preserve">(2) In enger Zusammenarbeit mit der EBA unterstützt und koordiniert die ESMA nach Möglichkeit die Ausarbeitung von Kooperationsvereinbarungen zwischen den zuständigen Behörden und den jeweils zuständigen Aufsichtsbehörden von Drittländern.</w:t>
      </w:r>
    </w:p>
    <w:p>
      <w:r>
        <w:t xml:space="preserve">(3) Die ESMA arbeitet in enger Zusammenarbeit mit der EBA Entwürfe technischer Regulierungsstandards mit einem Muster für Kooperationsvereinbarungen gemäß Absatz 1 aus, das nach Möglichkeit von den zuständigen Behörden der Mitgliedstaaten verwendet wird.</w:t>
      </w:r>
    </w:p>
    <w:p>
      <w:r>
        <w:t xml:space="preserve">Die ESMA übermittelt der Kommission die in Unterabsatz 1 genannten Entwürfe technischer Regulierungsstandards spätestens am 30. Juni 2024.</w:t>
      </w:r>
    </w:p>
    <w:p>
      <w:r>
        <w:t xml:space="preserve">Der Kommission wird die Befugnis übertragen, diese Verordnung durch den Erlass der in Unterabsatz 1 genannten technischen Regulierungsstandards gemäß den Artikeln 10 bis 14 der Verordnung (EU) Nr. 1095/2010 zu ergänzen.</w:t>
      </w:r>
    </w:p>
    <w:p>
      <w:r>
        <w:t xml:space="preserve">(4) In enger Zusammenarbeit mit der EBA erleichtert und koordiniert die ESMA nach Möglichkeit auch den Informationsaustausch zwischen den zuständigen Behörden bei Informationen von Aufsichtsbehörden aus Drittländern, die für das Ergreifen von Maßnahmen nach Kapitel 3 dieses Titels von Belang sein könnten.</w:t>
      </w:r>
    </w:p>
    <w:p>
      <w:r>
        <w:t xml:space="preserve">(5) Die zuständigen Behörden schließen Kooperationsvereinbarungen über den Informationsaustausch mit den Aufsichtsbehörden von Drittländern nur dann, wenn die Garantien zum Schutz des Berufsgeheimnisses in Bezug auf die offengelegten Informationen jenen nach Artikel 100 mindestens gleichwertig sind. Ein derartiger Informationsaustausch dient der Wahrnehmung der Aufgaben dieser zuständigen Behörden im Rahmen dieser Verordnung.</w:t>
      </w:r>
    </w:p>
    <w:p>
      <w:r>
        <w:rPr>
          <w:color w:val="555555"/>
          <w:sz w:val="17"/>
        </w:rPr>
        <w:t xml:space="preserve">Zitiervorschlag: Art 107 MiCA</w:t>
      </w:r>
    </w:p>
    <w:p>
      <w:r>
        <w:rPr>
          <w:color w:val="555555"/>
          <w:sz w:val="17"/>
        </w:rPr>
        <w:t xml:space="preserve">Quelle: EUR-Lex, abgerufen 25.08.2026</w:t>
      </w:r>
    </w:p>
    <w:p>
      <w:r>
        <w:rPr>
          <w:color w:val="555555"/>
          <w:sz w:val="17"/>
        </w:rPr>
        <w:t xml:space="preserve">Nicht-amtliche konsolidierte Fassung — verbindlich ist der im Amtsblatt der Europäischen Union veröffentlichte Wortlaut (eur-lex.europa.eu: https://eur-lex.europa.eu)</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https://recht.nulegal.eu/gesetze/MiCA/107</w:t>
      </w:r>
    </w:p>
    <w:p>
      <w:r>
        <w:rPr>
          <w:color w:val="767676"/>
          <w:sz w:val="15"/>
        </w:rPr>
        <w:t xml:space="preserve">nu:legal · recht.nulegal.eu · Nicht-amtliche Lesefassung. Amtliche Fassung: eur-lex.europa.eu</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