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106 MiCA — Koordinierung mit der ESMA oder der EBA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 ESMA oder — bei vermögenswertereferenzierten Token und E-Geld-Token — die EBA nimmt eine unterstützende und koordinierende Rolle in Bezug auf Maßnahmen wahr, die von den zuständigen Behörden gemäß Artikel 105 ergriffen werden. Die ESMA oder — bei vermögenswertereferenzierten Token und E-Geld-Token — die EBA stellt sicher, dass die von einer zuständigen Behörde ergriffenen Maßnahmen gerechtfertigt und verhältnismäßig sind und dass die zuständigen Behörden gegebenenfalls einen kohärenten Ansatz verfolgen.</w:t>
      </w:r>
    </w:p>
    <w:p>
      <w:r>
        <w:t xml:space="preserve">(2) Nach Eingang der Mitteilung gemäß Artikel 105 Absatz 3 über eine nach dem genannten Artikel zu ergreifende Maßnahme gibt die ESMA oder — bei vermögenswertereferenzierten Token und E-Geld-Token — die EBA eine Stellungnahme dazu ab, ob das Verbot oder die Beschränkung gerechtfertigt und verhältnismäßig ist. Hält die ESMA oder — bei vermögenswertereferenzierten Token und E-Geld-Token — die EBA Maßnahmen anderer zuständiger Behörden für notwendig, um das Risiko zu bewältigen, gibt sie dies in ihrer Stellungnahme an. Die Stellungnahme wird auf der Website der ESMA oder — bei vermögenswertereferenzierten Token und E-Geld-Token — der EBA veröffentlicht.</w:t>
      </w:r>
    </w:p>
    <w:p>
      <w:r>
        <w:t xml:space="preserve">(3) Wenn eine zuständige Behörde im Widerspruch zu einer von der ESMA oder EBA gemäß Absatz 2 abgegebenen Stellungnahme Maßnahmen vorschlägt, so veröffentlicht die betreffende zuständige Behörde auf ihrer Website umgehend eine Mitteilung, in der sie ihre Gründe umfassend darlegt.</w:t>
      </w:r>
    </w:p>
    <w:p>
      <w:r>
        <w:rPr>
          <w:color w:val="555555"/>
          <w:sz w:val="17"/>
        </w:rPr>
        <w:t xml:space="preserve">Zitiervorschlag: Art 106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https://recht.nulegal.eu/gesetze/MiCA/106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