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MiCA — Befugnisse der ESMA zur vorübergehenden Intervention</w:t>
      </w:r>
    </w:p>
    <w:p>
      <w:r>
        <w:rPr>
          <w:color w:val="555555"/>
          <w:sz w:val="18"/>
        </w:rPr>
        <w:t xml:space="preserve">MiCA</w:t>
      </w:r>
    </w:p>
    <w:p>
      <w:r>
        <w:rPr>
          <w:color w:val="555555"/>
          <w:sz w:val="18"/>
        </w:rPr>
        <w:t xml:space="preserve">Stand: 22.07.2026 (konsolidierte Textfassung, kein amtliches Inkrafttretensdatum)</w:t>
      </w:r>
    </w:p>
    <w:p>
      <w:r>
        <w:t xml:space="preserve">(1) Gemäß Artikel 9 Absatz 5 der Verordnung (EU) Nr. 1095/2010 kann die ESMA, wenn die Bedingungen der Absätze 2 und 3 des vorliegenden Artikels erfüllt sind, Folgendes vorübergehend verbieten oder beschränken:</w:t>
      </w:r>
    </w:p>
    <w:p>
      <w:r>
        <w:t xml:space="preserve">a) Vermarktung, Vertrieb oder Verkauf bestimmter anderer Kryptowerte als vermögenswertereferenzierter Token oder E-Geld-Token oder anderer Kryptowerte als vermögenswertereferenzierter Token oder E-Geld-Token mit bestimmten Merkmalen oder</w:t>
      </w:r>
    </w:p>
    <w:p>
      <w:r>
        <w:t xml:space="preserve">b) eine Art der Tätigkeit oder Praxis im Zusammenhang mit anderen Kryptowerten als vermögenswertereferenzierten Token oder E-Geld-Token.</w:t>
      </w:r>
    </w:p>
    <w:p>
      <w:r>
        <w:t xml:space="preserve">Ein Verbot oder eine Beschränkung kann unter bestimmten von der ESMA festgelegten Bedingungen oder vorbehaltlich von der ESMA festgelegter Ausnahmen gelten.</w:t>
      </w:r>
    </w:p>
    <w:p>
      <w:r>
        <w:t xml:space="preserve">(2) Die ESMA ergreift eine Maßnahme gemäß Absatz 1 nur, wenn alle folgenden Bedingungen erfüllt sind:</w:t>
      </w:r>
    </w:p>
    <w:p>
      <w:r>
        <w:t xml:space="preserve">a) Mit dem vorgeschlagenen Verbot bzw. der vorgeschlagenen Beschränkung wird erheblichen Bedenken hinsichtlich des Anlegerschutzes oder einer Gefahr für das ordnungsgemäße Funktionieren und die Integrität der Märkte für Kryptowerte oder für die Stabilität des Finanzsystems in der Union als Ganzes oder von Teilen dieses Finanzsystems begegnet;</w:t>
      </w:r>
    </w:p>
    <w:p>
      <w:r>
        <w:t xml:space="preserve">b) die Regulierungsanforderungen nach dem Unionsrecht, die auf die jeweiligen Kryptowerte und Kryptowerte-Dienstleistungen anwendbar sind, werden der betreffenden Bedrohung nicht gerecht;</w:t>
      </w:r>
    </w:p>
    <w:p>
      <w:r>
        <w:t xml:space="preserve">c) eine zuständige Behörde hat keine Maßnahmen ergriffen, um der betreffenden Bedrohung zu begegnen, oder die ergriffenen Maßnahmen werden der Bedrohung nicht ausreichend gerecht.</w:t>
      </w:r>
    </w:p>
    <w:p>
      <w:r>
        <w:t xml:space="preserve">(3) Ergreift die ESMA eine Maßnahme gemäß Absatz 1, so stellt sie sicher, dass die Maßnahme</w:t>
      </w:r>
    </w:p>
    <w:p>
      <w:r>
        <w:t xml:space="preserve">a) keine nachteiligen Auswirkungen auf die Effizienz der Märkte für Kryptowerte oder auf die Inhaber von Kryptowerten oder Kunden, die Kryptowerte-Dienstleistungen erhalten, hat, die in keinem Verhältnis zu den Vorteilen der Maßnahme stehen, und</w:t>
      </w:r>
    </w:p>
    <w:p>
      <w:r>
        <w:t xml:space="preserve">b) kein Risiko einer Aufsichtsarbitrage birgt.</w:t>
      </w:r>
    </w:p>
    <w:p>
      <w:r>
        <w:t xml:space="preserve">Haben zuständige Behörden eine Maßnahme nach Artikel 105 ergriffen, kann die ESMA jede der in Absatz 1 genannten Maßnahmen ergreifen, ohne eine Stellungnahme gemäß Artikel 106 Absatz 2 abzugeben.</w:t>
      </w:r>
    </w:p>
    <w:p>
      <w:r>
        <w:t xml:space="preserve">(4) Bevor die ESMA beschließt, eine Maßnahme gemäß Absatz 1 zu ergreifen, unterrichtet sie die jeweils zuständigen Behörden über die Maßnahme, die sie zu ergreifen beabsichtigt.</w:t>
      </w:r>
    </w:p>
    <w:p>
      <w:r>
        <w:t xml:space="preserve">(5) Die ESMA veröffentlicht auf ihrer Website eine Mitteilung über jeden Beschluss zur Ergreifung einer Maßnahme gemäß Absatz 1. In dieser Mitteilung werden die Einzelheiten des verhängten Verbots oder der verhängten Beschränkung erläutert und ein Zeitpunkt nach der Veröffentlichung der Mitteilung genannt, ab dem die Maßnahmen wirksam werden. Ein Verbot oder eine Beschränkung gilt nur für Tätigkeiten nach dem Wirksamwerden der Maßnahme.</w:t>
      </w:r>
    </w:p>
    <w:p>
      <w:r>
        <w:t xml:space="preserve">(6) Die ESMA überprüft ein verhängtes Verbot oder eine verhängte Beschränkung gemäß Absatz 1 in geeigneten Zeitabständen, mindestens alle sechs Monate. Nach mindestens zwei aufeinanderfolgenden Verlängerungen und auf der Grundlage einer ordnungsgemäßen Analyse zur Bewertung der Auswirkungen auf die Verbraucher kann die ESMA die jährliche Verlängerung des Verbots oder der Beschränkung beschließen.</w:t>
      </w:r>
    </w:p>
    <w:p>
      <w:r>
        <w:t xml:space="preserve">(7) Die von der ESMA gemäß diesem Artikel ergriffenen Maßnahmen haben Vorrang vor allen früheren Maßnahmen, die die jeweils zuständigen Behörden in derselben Angelegenheit ergriffen haben.</w:t>
      </w:r>
    </w:p>
    <w:p>
      <w:r>
        <w:t xml:space="preserve">(8) Die Kommission erlässt gemäß Artikel 139 delegierte Rechtsakte zur Ergänzung dieser Verordnung durch Festlegung der Kriterien und Faktoren, die von der ESMA bei der Feststellung, ob erhebliche Bedenken hinsichtlich des Anlegerschutzes oder eine Gefahr für das ordnungsgemäße Funktionieren und die Integrität der Märkte für Kryptowerte oder für die Stabilität des Finanzsystems der Union als Ganzes oder von Teilen dieses Finanzsystems bestehen, für die Zwecke von Absatz 2 Buchstabe a des vorliegenden Artikels zu berücksichtigen sind.</w:t>
      </w:r>
    </w:p>
    <w:p>
      <w:r>
        <w:rPr>
          <w:color w:val="555555"/>
          <w:sz w:val="17"/>
        </w:rPr>
        <w:t xml:space="preserve">Zitiervorschlag: Art 103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