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MiCA — Wahrung des Berufsgeheimnisses</w:t>
      </w:r>
    </w:p>
    <w:p>
      <w:r>
        <w:rPr>
          <w:color w:val="555555"/>
          <w:sz w:val="18"/>
        </w:rPr>
        <w:t xml:space="preserve">MiCA</w:t>
      </w:r>
    </w:p>
    <w:p>
      <w:r>
        <w:rPr>
          <w:color w:val="555555"/>
          <w:sz w:val="18"/>
        </w:rPr>
        <w:t xml:space="preserve">Stand: 22.07.2026 (konsolidierte Textfassung, kein amtliches Inkrafttretensdatum)</w:t>
      </w:r>
    </w:p>
    <w:p>
      <w:r>
        <w:t xml:space="preserve">(1) Alle im Rahmen dieser Verordnung zwischen zuständigen Behörden ausgetauschten Informationen, die Geschäfts- oder Betriebsbedingungen und andere wirtschaftliche oder persönliche Angelegenheiten betreffen, gelten als vertraulich und unterliegen den Anforderungen des Berufsgeheimnisses, es sei denn, ihre Weitergabe wird von den zuständigen Behörden zum Zeitpunkt der Übermittlung für zulässig erklärt oder ist für Gerichtsverfahren oder Fälle aus dem Bereich des nationalen Steuerrechts oder des Strafrechts erforderlich.</w:t>
      </w:r>
    </w:p>
    <w:p>
      <w:r>
        <w:t xml:space="preserve">(2) Die Pflicht zur Wahrung des Berufsgeheimnisses gilt für alle natürlichen oder juristischen Personen, die für die zuständigen Behörden tätig sind oder tätig waren. Die unter das Berufsgeheimnis fallenden Informationen dürfen nicht an andere natürliche oder juristische Personen oder an Behörden weitergegeben werden, es sei denn, dies geschieht aufgrund von Gesetzgebungsakten der Union oder nationalem Recht.</w:t>
      </w:r>
    </w:p>
    <w:p>
      <w:r>
        <w:rPr>
          <w:color w:val="555555"/>
          <w:sz w:val="17"/>
        </w:rPr>
        <w:t xml:space="preserve">Zitiervorschlag: Art 100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https://recht.nulegal.eu/gesetze/MiCA/100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