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MiCA — Ergebnis des öffentlichen Angebots und Sicherheitsvorkehrungen</w:t>
      </w:r>
    </w:p>
    <w:p>
      <w:r>
        <w:rPr>
          <w:color w:val="555555"/>
          <w:sz w:val="18"/>
        </w:rPr>
        <w:t xml:space="preserve">MiCA</w:t>
      </w:r>
    </w:p>
    <w:p>
      <w:r>
        <w:rPr>
          <w:color w:val="555555"/>
          <w:sz w:val="18"/>
        </w:rPr>
        <w:t xml:space="preserve">Stand: 22.07.2026 (konsolidierte Textfassung, kein amtliches Inkrafttretensdatum)</w:t>
      </w:r>
    </w:p>
    <w:p>
      <w:r>
        <w:t xml:space="preserve">(1) Anbieter von anderen Kryptowerten als vermögenswertereferenzierten Token oder E-Geld-Token, die für ihr öffentliches Angebot dieser Kryptowerte eine Frist setzen, müssen auf ihrer Website innerhalb von 20 Arbeitstagen nach Ablauf der Zeichnungsfrist das Ergebnis des öffentlichen Angebots veröffentlichen.</w:t>
      </w:r>
    </w:p>
    <w:p>
      <w:r>
        <w:t xml:space="preserve">(2) Anbieter von anderen Kryptowerten als vermögenswertereferenzierten Token oder E-Geld-Token, die für ihr öffentliches Angebot dieser Kryptowerte keine Frist setzen, müssen auf ihrer Website fortlaufend, mindestens monatlich, die Zahl der im Umlauf befindlichen Anteile der Kryptowerte veröffentlichen.</w:t>
      </w:r>
    </w:p>
    <w:p>
      <w:r>
        <w:t xml:space="preserve">(3) Anbieter von anderen Kryptowerten als vermögenswertereferenzierten Token oder E-Geld-Token, die für ihr öffentliches Angebot dieser Kryptowerte eine Frist setzen, müssen wirksame Vorkehrungen treffen, um die während des Angebots eingesammelten Geldbeträge oder anderen Kryptowerte zu überwachen und sicher aufzubewahren. Zu diesem Zweck müssen diese Anbieter sicherstellen, dass die während des öffentlichen Angebots gesammelten Geldbeträge oder Kryptowerte von einer oder beiden der folgenden Stellen verwahrt werden:</w:t>
      </w:r>
    </w:p>
    <w:p>
      <w:r>
        <w:t xml:space="preserve">a) einem Kreditinstitut, wenn während des öffentlichen Angebots Geldbeträge eingesammelt werden;</w:t>
      </w:r>
    </w:p>
    <w:p>
      <w:r>
        <w:t xml:space="preserve">b) einem Anbieter von Kryptowerte-Dienstleistungen, der Kryptowerte für Kunden verwahrt und verwaltet.</w:t>
      </w:r>
    </w:p>
    <w:p>
      <w:r>
        <w:t xml:space="preserve">(4) Ist für das öffentliche Angebot keine Frist vorgesehen, so erfüllt der Anbieter die Anforderungen nach Absatz 3 des vorliegenden Artikels, bis das in Artikel 13 festgelegte Widerrufsrecht des Kleinanlegers erloschen ist.</w:t>
      </w:r>
    </w:p>
    <w:p>
      <w:r>
        <w:rPr>
          <w:color w:val="555555"/>
          <w:sz w:val="17"/>
        </w:rPr>
        <w:t xml:space="preserve">Zitiervorschlag: Art 10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https://recht.nulegal.eu/gesetze/MiCA/10</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