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MiCA — Gegenstand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Mit dieser Verordnung werden einheitliche Anforderungen für das öffentliche Angebot und die Zulassung zum Handel auf einer Handelsplattform von anderen Kryptowerten als vermögenswertereferenzierten Token und E-Geld-Token, von vermögenswertereferenzierten Token und E-Geld-Token sowie Anforderungen für Anbieter von Kryptowerte-Dienstleistungen festgelegt.</w:t>
      </w:r>
    </w:p>
    <w:p>
      <w:r>
        <w:t xml:space="preserve">(2) Insbesondere wird mit dieser Verordnung Folgendes festgelegt:</w:t>
      </w:r>
    </w:p>
    <w:p>
      <w:r>
        <w:t xml:space="preserve">a) Transparenz- und Offenlegungspflichten für die Ausgabe, das öffentliche Angebot und die Zulassung von Kryptowerten zum Handel auf einer Handelsplattform für Kryptowerte („Zulassung zum Handel“);</w:t>
      </w:r>
    </w:p>
    <w:p>
      <w:r>
        <w:t xml:space="preserve">b) Anforderungen für die Zulassung und Beaufsichtigung von Anbietern von Kryptowerte-Dienstleistungen, Emittenten vermögenswertereferenzierter Token und Emittenten von E-Geld-Token sowie für deren Betrieb, Organisation und Unternehmensführung;</w:t>
      </w:r>
    </w:p>
    <w:p>
      <w:r>
        <w:t xml:space="preserve">c) Anforderungen für den Schutz der Inhaber von Kryptowerten bei der Ausgabe, dem öffentlichen Angebot und der Zulassung zum Handel mit Kryptowerten;</w:t>
      </w:r>
    </w:p>
    <w:p>
      <w:r>
        <w:t xml:space="preserve">d) Anforderungen für den Schutz der Kunden von Anbietern von Kryptowerte-Dienstleistungen;</w:t>
      </w:r>
    </w:p>
    <w:p>
      <w:r>
        <w:t xml:space="preserve">e) Maßnahmen zur Verhinderung von Insidergeschäften, unrechtmäßiger Offenlegung von Insiderinformationen sowie Marktmanipulation im Zusammenhang mit Kryptowerten, um die Integrität der Märkte für Kryptowerte zu wahren.</w:t>
      </w:r>
    </w:p>
    <w:p>
      <w:r>
        <w:rPr>
          <w:color w:val="555555"/>
          <w:sz w:val="17"/>
        </w:rPr>
        <w:t xml:space="preserve">Zitiervorschlag: Art 1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