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MgVG — Information der Leitungen</w:t>
      </w:r>
    </w:p>
    <w:p>
      <w:r>
        <w:rPr>
          <w:color w:val="555555"/>
          <w:sz w:val="18"/>
        </w:rPr>
        <w:t xml:space="preserve">Gesetz über die Mitbestimmung der Arbeitnehmer bei einer grenzüberschreitenden Verschmelzung</w:t>
      </w:r>
    </w:p>
    <w:p>
      <w:r>
        <w:rPr>
          <w:color w:val="555555"/>
          <w:sz w:val="18"/>
        </w:rPr>
        <w:t xml:space="preserve">Stand: 31.01.2023 (konsolidierte Textfassung, kein amtliches Inkrafttretensdatum)</w:t>
      </w:r>
    </w:p>
    <w:p>
      <w:r>
        <w:t xml:space="preserve">(1) Das besondere Verhandlungsgremium ist auf Grund einer schriftlichen Aufforderung der Leitungen zu bilden. Es hat die Aufgabe, mit den Leitungen eine schriftliche Vereinbarung über die Mitbestimmung der Arbeitnehmer in der aus einer grenzüberschreitenden Verschmelzung hervorgehenden Gesellschaft abzuschließen.</w:t>
      </w:r>
    </w:p>
    <w:p>
      <w:r>
        <w:t xml:space="preserve">(2) Wenn die Leitungen eine grenzüberschreitende Verschmelzung planen, informieren sie die Arbeitnehmervertretungen und Sprecherausschüsse in den beteiligten Gesellschaften, betroffenen Tochtergesellschaften und betroffenen Betrieben über das Verschmelzungsvorhaben. Besteht keine Arbeitnehmervertretung, erfolgt die Information gegenüber den Arbeitnehmern. Die Information erfolgt unaufgefordert und unverzüglich nach Offenlegung des Verschmelzungsplans.</w:t>
      </w:r>
    </w:p>
    <w:p>
      <w:r>
        <w:t xml:space="preserve">(3) Die Information erstreckt sich insbesondere auf</w:t>
      </w:r>
    </w:p>
    <w:p>
      <w:pPr>
        <w:ind w:left="420"/>
      </w:pPr>
      <w:r>
        <w:t xml:space="preserve">1. die Identität und Struktur der beteiligten Gesellschaften, betroffenen Tochtergesellschaften und betroffenen Betriebe und deren Verteilung auf die Mitgliedstaaten,</w:t>
      </w:r>
    </w:p>
    <w:p>
      <w:pPr>
        <w:ind w:left="420"/>
      </w:pPr>
      <w:r>
        <w:t xml:space="preserve">2. die in diesen Gesellschaften und Betrieben bestehenden Arbeitnehmervertretungen,</w:t>
      </w:r>
    </w:p>
    <w:p>
      <w:pPr>
        <w:ind w:left="420"/>
      </w:pPr>
      <w:r>
        <w:t xml:space="preserve">3. die Zahl der in diesen Gesellschaften und Betrieben jeweils beschäftigten Arbeitnehmer sowie die daraus zu errechnende Gesamtzahl der in einem Mitgliedstaat beschäftigten Arbeitnehmer,</w:t>
      </w:r>
    </w:p>
    <w:p>
      <w:pPr>
        <w:ind w:left="420"/>
      </w:pPr>
      <w:r>
        <w:t xml:space="preserve">4. die Zahl der Arbeitnehmer, denen Mitbestimmungsrechte in den Organen dieser Gesellschaften zustehen,</w:t>
      </w:r>
    </w:p>
    <w:p>
      <w:pPr>
        <w:ind w:left="420"/>
      </w:pPr>
      <w:r>
        <w:t xml:space="preserve">5. die Angabe, ob die Voraussetzungen des § 5 Nummer 1 vorliegen, sowie alle Angaben, die für diese Feststellung erforderlich sind, und</w:t>
      </w:r>
    </w:p>
    <w:p>
      <w:pPr>
        <w:ind w:left="420"/>
      </w:pPr>
      <w:r>
        <w:t xml:space="preserve">6. die Angabe, ob die Leitungen nach § 15 Absatz 3 entschieden haben, ohne vorhergehende Verhandlung unmittelbar die Regelungen der §§ 23 bis 28 über die Mitbestimmung kraft Gesetzes anzuwenden.</w:t>
      </w:r>
    </w:p>
    <w:p>
      <w:r>
        <w:t xml:space="preserve">(4) Maßgeblicher Zeitpunkt für die Ermittlung der Zahl der Arbeitnehmer ist der Zeitpunkt der Information nach Absatz 2.</w:t>
      </w:r>
    </w:p>
    <w:p>
      <w:r>
        <w:rPr>
          <w:color w:val="555555"/>
          <w:sz w:val="17"/>
        </w:rPr>
        <w:t xml:space="preserve">Zitiervorschlag: § 6 MgVG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https://recht.nulegal.eu/gesetze/MgVG/6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