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MgVG — Anwendung der Regelungen über die Mitbestimmung der Arbeitnehmer kraft Vereinbarung oder kraft Gesetzes</w:t>
      </w:r>
    </w:p>
    <w:p>
      <w:r>
        <w:rPr>
          <w:color w:val="555555"/>
          <w:sz w:val="18"/>
        </w:rPr>
        <w:t xml:space="preserve">Gesetz über die Mitbestimmung der Arbeitnehmer bei einer grenzüberschreitenden Verschmelzung</w:t>
      </w:r>
    </w:p>
    <w:p>
      <w:r>
        <w:rPr>
          <w:color w:val="555555"/>
          <w:sz w:val="18"/>
        </w:rPr>
        <w:t xml:space="preserve">Stand: 31.01.2023 (konsolidierte Textfassung, kein amtliches Inkrafttretensdatum)</w:t>
      </w:r>
    </w:p>
    <w:p>
      <w:r>
        <w:t xml:space="preserve">Die nachfolgenden Regelungen über die Mitbestimmung der Arbeitnehmer kraft Vereinbarung oder in den Fällen des § 23 die Regelungen über die Mitbestimmung kraft Gesetzes finden Anwendung, wenn</w:t>
      </w:r>
    </w:p>
    <w:p>
      <w:pPr>
        <w:ind w:left="420"/>
      </w:pPr>
      <w:r>
        <w:t xml:space="preserve">1. mindestens eine der beteiligten Gesellschaften in den sechs Monaten vor der Offenlegung des Verschmelzungsplans eine durchschnittliche Zahl von Arbeitnehmern beschäftigt, die mindestens vier Fünfteln des im Recht des Mitgliedstaats dieser Gesellschaft festgelegten Schwellenwerts entspricht, der die Mitbestimmung der Arbeitnehmer auslöst;</w:t>
      </w:r>
    </w:p>
    <w:p>
      <w:pPr>
        <w:ind w:left="420"/>
      </w:pPr>
      <w:r>
        <w:t xml:space="preserve">2. das für die aus einer grenzüberschreitenden Verschmelzung hervorgehende Gesellschaft maßgebende innerstaatliche Recht nicht mindestens den gleichen Umfang an Mitbestimmung der Arbeitnehmer vorsieht, wie er in den jeweiligen an der Verschmelzung beteiligten Gesellschaften bestand; der Umfang an Mitbestimmung der Arbeitnehmer bemisst sich nach dem Anteil der Arbeitnehmervertreter</w:t>
      </w:r>
    </w:p>
    <w:p>
      <w:pPr>
        <w:ind w:left="780"/>
      </w:pPr>
      <w:r>
        <w:t xml:space="preserve">a) im Verwaltungs- oder Aufsichtsorgan,</w:t>
      </w:r>
    </w:p>
    <w:p>
      <w:pPr>
        <w:ind w:left="780"/>
      </w:pPr>
      <w:r>
        <w:t xml:space="preserve">b) in Ausschüssen, in denen die Mitbestimmung der Arbeitnehmer erfolgt oder</w:t>
      </w:r>
    </w:p>
    <w:p>
      <w:pPr>
        <w:ind w:left="780"/>
      </w:pPr>
      <w:r>
        <w:t xml:space="preserve">c) im Leitungsgremium, das für die Ergebniseinheiten der Gesellschaften zuständig ist;</w:t>
      </w:r>
    </w:p>
    <w:p>
      <w:pPr>
        <w:ind w:left="420"/>
      </w:pPr>
      <w:r>
        <w:t xml:space="preserve">oder</w:t>
      </w:r>
    </w:p>
    <w:p>
      <w:pPr>
        <w:ind w:left="420"/>
      </w:pPr>
      <w:r>
        <w:t xml:space="preserve">3. das für die aus einer grenzüberschreitenden Verschmelzung hervorgehende Gesellschaft maßgebende innerstaatliche Recht für Arbeitnehmer in Betrieben dieser Gesellschaft, die sich in anderen Mitgliedstaaten befinden, nicht den gleichen Anspruch auf Ausübung von Mitbestimmung vorsieht, wie sie den Arbeitnehmern in demjenigen Mitgliedstaat gewährt werden, in dem die aus der grenzüberschreitenden Verschmelzung hervorgehende Gesellschaft ihren Sitz hat.</w:t>
      </w:r>
    </w:p>
    <w:p>
      <w:r>
        <w:rPr>
          <w:color w:val="555555"/>
          <w:sz w:val="17"/>
        </w:rPr>
        <w:t xml:space="preserve">Zitiervorschlag: § 5 MgVG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https://recht.nulegal.eu/gesetze/MgVG/5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