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MgVG — Übergangsvorschrift</w:t>
      </w:r>
    </w:p>
    <w:p>
      <w:r>
        <w:rPr>
          <w:color w:val="555555"/>
          <w:sz w:val="18"/>
        </w:rPr>
        <w:t xml:space="preserve">Gesetz über die Mitbestimmung der Arbeitnehmer bei einer grenzüberschreitenden Verschmelzung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Auf grenzüberschreitende Verschmelzungen, für die ein Verschmelzungsvertrag vor dem 31. Januar 2023 geschlossen wurde, ist dieses Gesetz in der bis zum Ablauf des 30. Januar 2023 geltenden Fassung anzuwenden.</w:t>
      </w:r>
    </w:p>
    <w:p>
      <w:r>
        <w:rPr>
          <w:color w:val="555555"/>
          <w:sz w:val="17"/>
        </w:rPr>
        <w:t xml:space="preserve">Zitiervorschlag: § 36 MgVG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https://recht.nulegal.eu/gesetze/MgVG/36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