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MgVG — Strafvorschriften</w:t>
      </w:r>
    </w:p>
    <w:p>
      <w:r>
        <w:rPr>
          <w:color w:val="555555"/>
          <w:sz w:val="18"/>
        </w:rPr>
        <w:t xml:space="preserve">Gesetz über die Mitbestimmung der Arbeitnehmer bei einer grenzüberschreitenden Verschmelzung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Mit Freiheitsstrafe bis zu zwei Jahren oder mit Geldstrafe wird bestraft, wer entgegen § 31 Abs. 2, auch in Verbindung mit Abs. 4, ein Betriebs- oder Geschäftsgeheimnis verwertet.</w:t>
      </w:r>
    </w:p>
    <w:p>
      <w:r>
        <w:t xml:space="preserve">(2) Mit Freiheitsstrafe bis zu einem Jahr oder mit Geldstrafe wird bestraft, wer</w:t>
      </w:r>
    </w:p>
    <w:p>
      <w:pPr>
        <w:ind w:left="420"/>
      </w:pPr>
      <w:r>
        <w:t xml:space="preserve">1. entgegen § 31 Abs. 2, auch in Verbindung mit Abs. 4, ein Betriebs- oder Geschäftsgeheimnis offenbart,</w:t>
      </w:r>
    </w:p>
    <w:p>
      <w:pPr>
        <w:ind w:left="420"/>
      </w:pPr>
      <w:r>
        <w:t xml:space="preserve">2. entgegen § 33 Nr. 1 oder 2 eine dort genannte Tätigkeit behindert, beeinflusst oder stört oder</w:t>
      </w:r>
    </w:p>
    <w:p>
      <w:pPr>
        <w:ind w:left="420"/>
      </w:pPr>
      <w:r>
        <w:t xml:space="preserve">3. entgegen § 33 Nr. 3 eine dort genannte Person benachteiligt oder begünstigt.</w:t>
      </w:r>
    </w:p>
    <w:p>
      <w:r>
        <w:t xml:space="preserve">(3) Handelt der Täter in den Fällen des Absatzes 2 Nr. 1 gegen Entgelt oder in der Absicht, sich oder einen anderen zu bereichern oder einen anderen zu schädigen, so ist die Strafe Freiheitsstrafe bis zu zwei Jahren oder Geldstrafe.</w:t>
      </w:r>
    </w:p>
    <w:p>
      <w:r>
        <w:t xml:space="preserve">(4) Die Tat wird nur auf Antrag verfolgt. In den Fällen des Absatzes 2 Nr. 2 und 3 sind das besondere Verhandlungsgremium, jedes Mitglied des Aufsichts- oder Verwaltungsorgans, eine im Unternehmen vertretene Gewerkschaft sowie die Leitungen antragsberechtigt.</w:t>
      </w:r>
    </w:p>
    <w:p>
      <w:r>
        <w:rPr>
          <w:color w:val="555555"/>
          <w:sz w:val="17"/>
        </w:rPr>
        <w:t xml:space="preserve">Zitiervorschlag: § 34 MgVG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https://recht.nulegal.eu/gesetze/MgVG/34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